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600" w:after="0"/>
        <w:rPr/>
      </w:pPr>
      <w:r>
        <w:rPr/>
      </w:r>
    </w:p>
    <w:p>
      <w:pPr>
        <w:pStyle w:val="Normal"/>
        <w:jc w:val="center"/>
        <w:rPr/>
      </w:pPr>
      <w:r>
        <w:rPr>
          <w:rFonts w:eastAsia="Calibri" w:cs="Calibri"/>
          <w:b/>
          <w:bCs/>
          <w:color w:val="1B4332"/>
          <w:sz w:val="100"/>
          <w:szCs w:val="100"/>
        </w:rPr>
        <w:t>TIKVA KORIMA</w:t>
      </w:r>
    </w:p>
    <w:p>
      <w:pPr>
        <w:pStyle w:val="Normal"/>
        <w:pBdr>
          <w:top w:val="single" w:sz="8" w:space="8" w:color="B8860B"/>
        </w:pBdr>
        <w:spacing w:before="200" w:after="100"/>
        <w:jc w:val="center"/>
        <w:rPr/>
      </w:pPr>
      <w:r>
        <w:rPr>
          <w:rFonts w:eastAsia="Calibri" w:cs="Calibri"/>
          <w:b/>
          <w:bCs/>
          <w:color w:val="B8860B"/>
          <w:sz w:val="26"/>
          <w:szCs w:val="26"/>
        </w:rPr>
        <w:t>L'EMPLOI AU SERVICE DU DÉVELOPPEMENT HUMAIN</w:t>
      </w:r>
    </w:p>
    <w:p>
      <w:pPr>
        <w:pStyle w:val="Normal"/>
        <w:spacing w:before="60" w:after="0"/>
        <w:jc w:val="center"/>
        <w:rPr/>
      </w:pPr>
      <w:r>
        <w:rPr>
          <w:rFonts w:eastAsia="Calibri" w:cs="Calibri"/>
          <w:i/>
          <w:iCs/>
          <w:color w:val="3A3A3A"/>
          <w:sz w:val="20"/>
          <w:szCs w:val="20"/>
        </w:rPr>
        <w:t>Entreprise sociale de recrutement, d'intérim et d'insertion professionnelle</w:t>
      </w:r>
    </w:p>
    <w:p>
      <w:pPr>
        <w:pStyle w:val="Normal"/>
        <w:spacing w:before="700" w:after="0"/>
        <w:rPr/>
      </w:pPr>
      <w:r>
        <w:rPr/>
      </w:r>
    </w:p>
    <w:p>
      <w:pPr>
        <w:pStyle w:val="Normal"/>
        <w:jc w:val="center"/>
        <w:rPr/>
      </w:pPr>
      <w:r>
        <w:rPr>
          <w:rFonts w:eastAsia="Calibri" w:cs="Calibri"/>
          <w:b/>
          <w:bCs/>
          <w:color w:val="3A3A3A"/>
          <w:sz w:val="34"/>
          <w:szCs w:val="34"/>
        </w:rPr>
        <w:t>BUSINESS PLAN</w:t>
      </w:r>
    </w:p>
    <w:p>
      <w:pPr>
        <w:pStyle w:val="Normal"/>
        <w:spacing w:before="100" w:after="0"/>
        <w:jc w:val="center"/>
        <w:rPr/>
      </w:pPr>
      <w:r>
        <w:rPr>
          <w:rFonts w:eastAsia="Calibri" w:cs="Calibri"/>
          <w:color w:val="3A3A3A"/>
          <w:sz w:val="22"/>
          <w:szCs w:val="22"/>
        </w:rPr>
        <w:t>Version 2026 — Édition consolidée</w:t>
      </w:r>
    </w:p>
    <w:p>
      <w:pPr>
        <w:pStyle w:val="Normal"/>
        <w:spacing w:before="300" w:after="0"/>
        <w:jc w:val="center"/>
        <w:rPr/>
      </w:pPr>
      <w:r>
        <w:rPr>
          <w:rFonts w:eastAsia="Calibri" w:cs="Calibri"/>
          <w:color w:val="3A3A3A"/>
          <w:sz w:val="18"/>
          <w:szCs w:val="18"/>
        </w:rPr>
        <w:t>Dossier de financement — SARL en cours de constitution</w:t>
      </w:r>
    </w:p>
    <w:p>
      <w:pPr>
        <w:pStyle w:val="Normal"/>
        <w:spacing w:before="1200" w:after="0"/>
        <w:rPr/>
      </w:pPr>
      <w:r>
        <w:rPr/>
      </w:r>
    </w:p>
    <w:p>
      <w:pPr>
        <w:pStyle w:val="Normal"/>
        <w:jc w:val="center"/>
        <w:rPr/>
      </w:pPr>
      <w:r>
        <w:rPr>
          <w:rFonts w:eastAsia="Calibri" w:cs="Calibri"/>
          <w:b/>
          <w:bCs/>
          <w:color w:val="1B4332"/>
          <w:sz w:val="24"/>
          <w:szCs w:val="24"/>
        </w:rPr>
        <w:t>Présidente fondatrice : Madame Nimaga Gnakalé KOITA</w:t>
      </w:r>
    </w:p>
    <w:p>
      <w:pPr>
        <w:pStyle w:val="Normal"/>
        <w:spacing w:before="60" w:after="0"/>
        <w:jc w:val="center"/>
        <w:rPr/>
      </w:pPr>
      <w:r>
        <w:rPr>
          <w:rFonts w:eastAsia="Calibri" w:cs="Calibri"/>
          <w:color w:val="3A3A3A"/>
          <w:sz w:val="20"/>
          <w:szCs w:val="20"/>
        </w:rPr>
        <w:t>Bamako, République du Mali</w:t>
      </w:r>
    </w:p>
    <w:p>
      <w:r>
        <w:rPr>
          <w:b/>
          <w:color w:val="9C5A00"/>
          <w:sz w:val="20"/>
        </w:rPr>
        <w:t>Note de positionnement (2026) : TIKVA KORIMA est avant tout une entreprise de recrutement. La mise à disposition de personnel intérimaire n'est proposée qu'à titre complémentaire, selon le secteur d'activité du client (notamment BTP, logistique, hôtellerie). Ce document présente l'activité de recrutement comme le cœur du modèle économique ; le développement futur d'une activité d'intérim significative fait l'objet d'une annexe dédiée (voir Modèle BFR ETT, dossier 03_Finances).</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SOMMAIRE</w:t>
      </w:r>
    </w:p>
    <w:p>
      <w:pPr>
        <w:pStyle w:val="Normal"/>
        <w:spacing w:before="0" w:after="120"/>
        <w:rPr/>
      </w:pPr>
      <w:r>
        <w:rPr>
          <w:rFonts w:eastAsia="Calibri" w:cs="Calibri"/>
          <w:color w:val="3A3A3A"/>
          <w:sz w:val="22"/>
          <w:szCs w:val="22"/>
        </w:rPr>
        <w:t>1. Résumé exécutif</w:t>
      </w:r>
    </w:p>
    <w:p>
      <w:pPr>
        <w:pStyle w:val="Normal"/>
        <w:spacing w:before="0" w:after="120"/>
        <w:rPr/>
      </w:pPr>
      <w:r>
        <w:rPr>
          <w:rFonts w:eastAsia="Calibri" w:cs="Calibri"/>
          <w:color w:val="3A3A3A"/>
          <w:sz w:val="22"/>
          <w:szCs w:val="22"/>
        </w:rPr>
        <w:t>2. La fondatrice et l'équipe</w:t>
      </w:r>
    </w:p>
    <w:p>
      <w:pPr>
        <w:pStyle w:val="Normal"/>
        <w:spacing w:before="0" w:after="120"/>
        <w:rPr/>
      </w:pPr>
      <w:r>
        <w:rPr>
          <w:rFonts w:eastAsia="Calibri" w:cs="Calibri"/>
          <w:color w:val="3A3A3A"/>
          <w:sz w:val="22"/>
          <w:szCs w:val="22"/>
        </w:rPr>
        <w:t>3. Pourquoi TIKVA KORIMA réussira</w:t>
      </w:r>
    </w:p>
    <w:p>
      <w:pPr>
        <w:pStyle w:val="Normal"/>
        <w:spacing w:before="0" w:after="120"/>
        <w:rPr/>
      </w:pPr>
      <w:r>
        <w:rPr>
          <w:rFonts w:eastAsia="Calibri" w:cs="Calibri"/>
          <w:color w:val="3A3A3A"/>
          <w:sz w:val="22"/>
          <w:szCs w:val="22"/>
        </w:rPr>
        <w:t>4. TIKVA KORIMA, une marque africaine</w:t>
      </w:r>
    </w:p>
    <w:p>
      <w:pPr>
        <w:pStyle w:val="Normal"/>
        <w:spacing w:before="0" w:after="120"/>
        <w:rPr/>
      </w:pPr>
      <w:r>
        <w:rPr>
          <w:rFonts w:eastAsia="Calibri" w:cs="Calibri"/>
          <w:color w:val="3A3A3A"/>
          <w:sz w:val="22"/>
          <w:szCs w:val="22"/>
        </w:rPr>
        <w:t>5. Le marché malien de l'emploi</w:t>
      </w:r>
    </w:p>
    <w:p>
      <w:pPr>
        <w:pStyle w:val="Normal"/>
        <w:spacing w:before="0" w:after="120"/>
        <w:rPr/>
      </w:pPr>
      <w:r>
        <w:rPr>
          <w:rFonts w:eastAsia="Calibri" w:cs="Calibri"/>
          <w:color w:val="3A3A3A"/>
          <w:sz w:val="22"/>
          <w:szCs w:val="22"/>
        </w:rPr>
        <w:t>6. Analyse concurrentielle</w:t>
      </w:r>
    </w:p>
    <w:p>
      <w:pPr>
        <w:pStyle w:val="Normal"/>
        <w:spacing w:before="0" w:after="120"/>
        <w:rPr/>
      </w:pPr>
      <w:r>
        <w:rPr>
          <w:rFonts w:eastAsia="Calibri" w:cs="Calibri"/>
          <w:color w:val="3A3A3A"/>
          <w:sz w:val="22"/>
          <w:szCs w:val="22"/>
        </w:rPr>
        <w:t>7. Solution et modèle économique</w:t>
      </w:r>
    </w:p>
    <w:p>
      <w:pPr>
        <w:pStyle w:val="Normal"/>
        <w:spacing w:before="0" w:after="120"/>
        <w:rPr/>
      </w:pPr>
      <w:r>
        <w:rPr>
          <w:rFonts w:eastAsia="Calibri" w:cs="Calibri"/>
          <w:color w:val="3A3A3A"/>
          <w:sz w:val="22"/>
          <w:szCs w:val="22"/>
        </w:rPr>
        <w:t>8. Stratégie commerciale et opérationnelle</w:t>
      </w:r>
    </w:p>
    <w:p>
      <w:pPr>
        <w:pStyle w:val="Normal"/>
        <w:spacing w:before="0" w:after="120"/>
        <w:rPr/>
      </w:pPr>
      <w:r>
        <w:rPr>
          <w:rFonts w:eastAsia="Calibri" w:cs="Calibri"/>
          <w:color w:val="3A3A3A"/>
          <w:sz w:val="22"/>
          <w:szCs w:val="22"/>
        </w:rPr>
        <w:t>9. Organisation et gouvernance</w:t>
      </w:r>
    </w:p>
    <w:p>
      <w:pPr>
        <w:pStyle w:val="Normal"/>
        <w:spacing w:before="0" w:after="120"/>
        <w:rPr/>
      </w:pPr>
      <w:r>
        <w:rPr>
          <w:rFonts w:eastAsia="Calibri" w:cs="Calibri"/>
          <w:color w:val="3A3A3A"/>
          <w:sz w:val="22"/>
          <w:szCs w:val="22"/>
        </w:rPr>
        <w:t>10. Impact social</w:t>
      </w:r>
    </w:p>
    <w:p>
      <w:pPr>
        <w:pStyle w:val="Normal"/>
        <w:spacing w:before="0" w:after="120"/>
        <w:rPr/>
      </w:pPr>
      <w:r>
        <w:rPr>
          <w:rFonts w:eastAsia="Calibri" w:cs="Calibri"/>
          <w:color w:val="3A3A3A"/>
          <w:sz w:val="22"/>
          <w:szCs w:val="22"/>
        </w:rPr>
        <w:t>11. Prévisionnel financier</w:t>
      </w:r>
    </w:p>
    <w:p>
      <w:pPr>
        <w:pStyle w:val="Normal"/>
        <w:spacing w:before="0" w:after="120"/>
        <w:rPr/>
      </w:pPr>
      <w:r>
        <w:rPr>
          <w:rFonts w:eastAsia="Calibri" w:cs="Calibri"/>
          <w:color w:val="3A3A3A"/>
          <w:sz w:val="22"/>
          <w:szCs w:val="22"/>
        </w:rPr>
        <w:t>12. Gestion des risques</w:t>
      </w:r>
    </w:p>
    <w:p>
      <w:pPr>
        <w:pStyle w:val="Normal"/>
        <w:spacing w:before="0" w:after="120"/>
        <w:rPr/>
      </w:pPr>
      <w:r>
        <w:rPr>
          <w:rFonts w:eastAsia="Calibri" w:cs="Calibri"/>
          <w:color w:val="3A3A3A"/>
          <w:sz w:val="22"/>
          <w:szCs w:val="22"/>
        </w:rPr>
        <w:t>13. Conclusion</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1. RÉSUMÉ EXÉCUTIF</w:t>
      </w:r>
    </w:p>
    <w:p>
      <w:pPr>
        <w:pStyle w:val="Normal"/>
        <w:spacing w:before="200" w:after="200"/>
        <w:jc w:val="center"/>
        <w:rPr/>
      </w:pPr>
      <w:r>
        <w:rPr>
          <w:rFonts w:eastAsia="Calibri" w:cs="Calibri"/>
          <w:i/>
          <w:iCs/>
          <w:color w:val="1B4332"/>
          <w:sz w:val="24"/>
          <w:szCs w:val="24"/>
        </w:rPr>
        <w:t>« TIKVA KORIMA n'est pas la création d'une entreprise. C'est l'aboutissement d'un parcours professionnel et humain. »</w:t>
      </w:r>
    </w:p>
    <w:p>
      <w:pPr>
        <w:pStyle w:val="Normal"/>
        <w:spacing w:lineRule="auto" w:line="300" w:before="0" w:after="160"/>
        <w:jc w:val="both"/>
        <w:rPr/>
      </w:pPr>
      <w:r>
        <w:rPr>
          <w:rFonts w:eastAsia="Calibri" w:cs="Calibri"/>
          <w:sz w:val="22"/>
          <w:szCs w:val="22"/>
        </w:rPr>
        <w:t>TIKVA KORIMA est une entreprise sociale de recrutement, d'intérim et d'insertion professionnelle fondée à Bamako, au Mali, avec une double vocation : répondre aux besoins réels des entreprises et institutions maliennes en main-d'œuvre qualifiée et fiable, et constituer un outil d'insertion durable pour les femmes, les jeunes et les personnes exclues du marché du travail.</w:t>
      </w:r>
    </w:p>
    <w:p>
      <w:pPr>
        <w:pStyle w:val="Normal"/>
        <w:spacing w:lineRule="auto" w:line="300" w:before="0" w:after="160"/>
        <w:jc w:val="both"/>
        <w:rPr/>
      </w:pPr>
      <w:r>
        <w:rPr>
          <w:rFonts w:eastAsia="Calibri" w:cs="Calibri"/>
          <w:sz w:val="22"/>
          <w:szCs w:val="22"/>
        </w:rPr>
        <w:t>Le marché malien de l'intermédiation professionnelle reste quasiment vierge de concurrence structurée : le recours aux canaux formels de placement reste minoritaire face aux relations personnelles, dans un pays où 235 000 jeunes rejoignent chaque année le marché du travail et où la croissance économique devrait atteindre 5,5 % en 2026. TIKVA KORIMA se donne pour ambition de devenir le premier acteur digitalisé et structuré de ce marché, à travers deux lignes d'activité complémentaires : le recrutement et la mise à disposition de personnel (cœur de métier), et une activité de prestation directe de services dans cinq secteurs porteurs — nettoyage, gardiennage, conciergerie, BTP et agriculture — qui sert aussi de levier direct d'insertion pour les publics les plus vulnérables.</w:t>
      </w:r>
    </w:p>
    <w:p>
      <w:pPr>
        <w:pStyle w:val="Normal"/>
        <w:spacing w:lineRule="auto" w:line="300" w:before="0" w:after="160"/>
        <w:jc w:val="both"/>
        <w:rPr/>
      </w:pPr>
      <w:r>
        <w:rPr>
          <w:rFonts w:eastAsia="Calibri" w:cs="Calibri"/>
          <w:sz w:val="22"/>
          <w:szCs w:val="22"/>
        </w:rPr>
        <w:t>Le projet est porté par Madame Nimaga Gnakalé KOITA, dont le réseau institutionnel franco-malien, construit depuis 2010, et l'expérience de plus de dix ans dans le recrutement et l'administration publique française constituent un avantage concurrentiel difficile à répliquer.</w:t>
      </w:r>
    </w:p>
    <w:p>
      <w:pPr>
        <w:pStyle w:val="Normal"/>
        <w:spacing w:lineRule="auto" w:line="300" w:before="0" w:after="160"/>
        <w:jc w:val="both"/>
        <w:rPr/>
      </w:pPr>
      <w:r>
        <w:rPr>
          <w:rFonts w:eastAsia="Calibri" w:cs="Calibri"/>
          <w:sz w:val="22"/>
          <w:szCs w:val="22"/>
        </w:rPr>
        <w:t>TIKVA KORIMA est constituée en SARL au capital social de 500 000 FCFA (50 parts de 10 000 FCFA), auquel s'ajoute un apport en nature de la fondatrice (imprimante et ordinateur). L'équipe de lancement compte 2 salariés : la fondatrice et un(e) responsable recrutement et commercial(e).</w:t>
      </w:r>
    </w:p>
    <w:p>
      <w:pPr>
        <w:pStyle w:val="Normal"/>
        <w:spacing w:lineRule="auto" w:line="300" w:before="0" w:after="160"/>
        <w:jc w:val="both"/>
        <w:rPr/>
      </w:pPr>
      <w:r>
        <w:rPr>
          <w:rFonts w:eastAsia="Calibri" w:cs="Calibri"/>
          <w:sz w:val="22"/>
          <w:szCs w:val="22"/>
        </w:rPr>
        <w:t>La trajectoire financière retenue prévoit un chiffre d'affaires de 4 030 000 FCFA en année 1, atteignant 9 309 300 FCFA en année 3, avec un point mort atteint dès la troisième année (résultat de + 1 460 550 FCFA). Le besoin de financement externe s'élève à 5 000 000 FCFA, en complément du capital social, pour un plan de financement équilibré à 5 500 000 FCFA.</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2. LA FONDATRICE ET L'ÉQUIPE</w:t>
      </w:r>
    </w:p>
    <w:p>
      <w:pPr>
        <w:pStyle w:val="Heading2"/>
        <w:spacing w:before="280" w:after="140"/>
        <w:rPr/>
      </w:pPr>
      <w:r>
        <w:rPr>
          <w:rFonts w:eastAsia="Calibri" w:cs="Calibri" w:ascii="Calibri" w:hAnsi="Calibri"/>
          <w:b/>
          <w:bCs/>
          <w:color w:val="1B4332"/>
          <w:sz w:val="24"/>
          <w:szCs w:val="24"/>
        </w:rPr>
        <w:t>2.1 — Une vision née du terrain</w:t>
      </w:r>
    </w:p>
    <w:p>
      <w:pPr>
        <w:pStyle w:val="Normal"/>
        <w:spacing w:lineRule="auto" w:line="300" w:before="0" w:after="160"/>
        <w:jc w:val="both"/>
        <w:rPr/>
      </w:pPr>
      <w:r>
        <w:rPr>
          <w:rFonts w:eastAsia="Calibri" w:cs="Calibri"/>
          <w:sz w:val="22"/>
          <w:szCs w:val="22"/>
        </w:rPr>
        <w:t>TIKVA KORIMA n'est pas née d'une opportunité de marché identifiée depuis un bureau. Le projet est né en 2014, de la conviction de Madame Nimaga Gnakalé KOITA qu'il existe, au Mali, un vivier considérable de personnes exclues des circuits classiques de l'emploi — enfants ayant grandi dans la rue, femmes désavouées par leur famille ou leur communauté, victimes des conflits du Nord du pays, anciens détenus réinsérés — et qu'aucune structure, publique ou privée, ne leur offre aujourd'hui de parcours de retour vers l'emploi digne et durable.</w:t>
      </w:r>
    </w:p>
    <w:p>
      <w:pPr>
        <w:pStyle w:val="Normal"/>
        <w:spacing w:lineRule="auto" w:line="300" w:before="0" w:after="160"/>
        <w:jc w:val="both"/>
        <w:rPr/>
      </w:pPr>
      <w:r>
        <w:rPr>
          <w:rFonts w:eastAsia="Calibri" w:cs="Calibri"/>
          <w:sz w:val="22"/>
          <w:szCs w:val="22"/>
        </w:rPr>
        <w:t>Un premier business plan est rédigé entre 2014 et 2019 sous le nom fondateur d'INTERIMA. Il pose déjà l'essentiel de l'ADN du projet : la mission sociale envers les personnes exclues des circuits classiques de l'emploi, la vocation d'agence de travail temporaire à impact social, et des valeurs — dignité, inclusion, confiance, accompagnement, protection sociale — restées inchangées depuis. En 2026, fort d'un parcours professionnel désormais achevé et institutionnellement reconnu, ce projet fondateur est repris, actualisé et repensé sous le nom TIKVA KORIMA comme une véritable entreprise sociale, couvrant l'ensemble de la chaîne de valeur de l'insertion professionnelle : le changement de nom ne rompt pas avec l'histoire du projet, il la prolonge.</w:t>
      </w:r>
    </w:p>
    <w:p>
      <w:pPr>
        <w:pStyle w:val="Heading2"/>
        <w:spacing w:before="280" w:after="140"/>
        <w:rPr/>
      </w:pPr>
      <w:r>
        <w:rPr>
          <w:rFonts w:eastAsia="Calibri" w:cs="Calibri" w:ascii="Calibri" w:hAnsi="Calibri"/>
          <w:b/>
          <w:bCs/>
          <w:color w:val="1B4332"/>
          <w:sz w:val="24"/>
          <w:szCs w:val="24"/>
        </w:rPr>
        <w:t>2.2 — Parcours professionnel</w:t>
      </w:r>
    </w:p>
    <w:p>
      <w:pPr>
        <w:pStyle w:val="Normal"/>
        <w:spacing w:lineRule="auto" w:line="300" w:before="0" w:after="160"/>
        <w:jc w:val="both"/>
        <w:rPr/>
      </w:pPr>
      <w:r>
        <w:rPr>
          <w:rFonts w:eastAsia="Calibri" w:cs="Calibri"/>
          <w:sz w:val="22"/>
          <w:szCs w:val="22"/>
        </w:rPr>
        <w:t>Madame Nimaga Gnakalé KOITA est une professionnelle française d'origine malienne, née à Bamako en 1992, dont le parcours conjugue plus de dix années d'expérience dans l'administration publique française, le recrutement et les ressources humaines.</w:t>
      </w:r>
    </w:p>
    <w:p>
      <w:pPr>
        <w:pStyle w:val="Normal"/>
        <w:spacing w:lineRule="auto" w:line="300" w:before="0" w:after="160"/>
        <w:jc w:val="both"/>
        <w:rPr/>
      </w:pPr>
      <w:r>
        <w:rPr>
          <w:rFonts w:eastAsia="Calibri" w:cs="Calibri"/>
          <w:sz w:val="22"/>
          <w:szCs w:val="22"/>
        </w:rPr>
        <w:t>Entre 2014 et 2018, elle occupe des fonctions de gestion et de recrutement au sein de sociétés d'intérim spécialisées dans le bâtiment (Morgan Services, R2T, Carrard Service) — le cœur de métier de TIKVA KORIMA. De 2018 à 2020, à la Carsat Bretagne, elle est gestionnaire carrière et conseillère téléphonique, développant une maîtrise fine des droits sociaux et de l'accompagnement des publics fragiles. De 2020 à 2023, à la Mairie de Vitry-sur-Seine, elle est assistante administrative auprès des élus ; depuis 2026, elle y exerce en parallèle un mandat de conseillère municipale élue. Depuis 2023, elle est Assistante au Cabinet de la Secrétaire d'État au Ministère de l'Europe et des Affaires étrangères, à Paris, où elle coordonne des dossiers diplomatiques, de santé mondiale et de climat.</w:t>
      </w:r>
    </w:p>
    <w:p>
      <w:pPr>
        <w:pStyle w:val="Normal"/>
        <w:spacing w:lineRule="auto" w:line="300" w:before="0" w:after="160"/>
        <w:jc w:val="both"/>
        <w:rPr/>
      </w:pPr>
      <w:r>
        <w:rPr>
          <w:rFonts w:eastAsia="Calibri" w:cs="Calibri"/>
          <w:sz w:val="22"/>
          <w:szCs w:val="22"/>
        </w:rPr>
        <w:t>Depuis 2010, elle est par ailleurs engagée bénévolement dans la coopération Vitry-Mali, où elle coordonne des échanges entre ambassades et élus locaux et participe à la recherche de financements — un engagement qui préfigure directement le volet développement international de TIKVA KORIMA.</w:t>
      </w:r>
    </w:p>
    <w:p>
      <w:pPr>
        <w:pStyle w:val="Heading2"/>
        <w:spacing w:before="280" w:after="140"/>
        <w:rPr/>
      </w:pPr>
      <w:r>
        <w:rPr>
          <w:rFonts w:eastAsia="Calibri" w:cs="Calibri" w:ascii="Calibri" w:hAnsi="Calibri"/>
          <w:b/>
          <w:bCs/>
          <w:color w:val="1B4332"/>
          <w:sz w:val="24"/>
          <w:szCs w:val="24"/>
        </w:rPr>
        <w:t>2.3 — Compétences au service de TIKVA KORIMA</w:t>
      </w:r>
    </w:p>
    <w:p>
      <w:pPr>
        <w:pStyle w:val="Normal"/>
        <w:spacing w:lineRule="auto" w:line="300" w:before="0" w:after="160"/>
        <w:jc w:val="both"/>
        <w:rPr/>
      </w:pPr>
      <w:r>
        <w:rPr>
          <w:rFonts w:eastAsia="Calibri" w:cs="Calibri"/>
          <w:sz w:val="22"/>
          <w:szCs w:val="22"/>
        </w:rPr>
        <w:t>Le tableau suivant met en correspondance chaque expérience professionnelle de la fondatrice avec l'atout stratégique qu'elle représente pour TIKVA KORIMA.</w:t>
      </w:r>
    </w:p>
    <w:tbl>
      <w:tblPr>
        <w:tblW w:w="9000" w:type="dxa"/>
        <w:jc w:val="start"/>
        <w:tblInd w:w="0" w:type="dxa"/>
        <w:tblLayout w:type="fixed"/>
        <w:tblCellMar>
          <w:top w:w="0" w:type="dxa"/>
          <w:start w:w="108" w:type="dxa"/>
          <w:bottom w:w="0" w:type="dxa"/>
          <w:end w:w="108" w:type="dxa"/>
        </w:tblCellMar>
      </w:tblPr>
      <w:tblGrid>
        <w:gridCol w:w="3400"/>
        <w:gridCol w:w="5600"/>
      </w:tblGrid>
      <w:tr>
        <w:trPr/>
        <w:tc>
          <w:tcPr>
            <w:tcW w:w="34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Expérience</w:t>
            </w:r>
          </w:p>
        </w:tc>
        <w:tc>
          <w:tcPr>
            <w:tcW w:w="56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Apport stratégique pour TIKVA KORIMA</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Recrutement et intérim</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Création et gestion de l'agence, sélection des candidats, suivi des entreprises clientes.</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Ressources humaines</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Gestion des contrats, intégration et accompagnement des salariés.</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Administration publique</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Organisation, procédures internes, conformité juridique et administrative.</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Ministère de l'Europe et des Affaires étrangères</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Crédibilité institutionnelle, gestion de dossiers complexes, coordination de partenaires.</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Mairie de Vitry-sur-Seine</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Connaissance des politiques publiques locales et des dispositifs d'insertion professionnelle.</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Conseillère municipale élue</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Accompagnement des jeunes, accès aux droits, développement de partenariats locaux.</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Engagement associatif (Coopération Vitry-Mali)</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Recherche de financements, mobilisation de partenaires France-Mali.</w:t>
            </w:r>
          </w:p>
        </w:tc>
      </w:tr>
      <w:tr>
        <w:trPr/>
        <w:tc>
          <w:tcPr>
            <w:tcW w:w="34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bCs/>
                <w:sz w:val="20"/>
                <w:szCs w:val="20"/>
              </w:rPr>
              <w:t>Carsat Bretagne</w:t>
            </w:r>
          </w:p>
        </w:tc>
        <w:tc>
          <w:tcPr>
            <w:tcW w:w="56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Maîtrise des droits sociaux et accompagnement des publics fragiles.</w:t>
            </w:r>
          </w:p>
        </w:tc>
      </w:tr>
    </w:tbl>
    <w:p>
      <w:pPr>
        <w:pStyle w:val="Normal"/>
        <w:spacing w:before="200" w:after="0"/>
        <w:rPr/>
      </w:pPr>
      <w:r>
        <w:rPr/>
      </w:r>
    </w:p>
    <w:p>
      <w:pPr>
        <w:pStyle w:val="Heading2"/>
        <w:spacing w:before="280" w:after="140"/>
        <w:rPr/>
      </w:pPr>
      <w:r>
        <w:rPr>
          <w:rFonts w:eastAsia="Calibri" w:cs="Calibri" w:ascii="Calibri" w:hAnsi="Calibri"/>
          <w:b/>
          <w:bCs/>
          <w:color w:val="1B4332"/>
          <w:sz w:val="24"/>
          <w:szCs w:val="24"/>
        </w:rPr>
        <w:t>2.4 — Qualités de dirigeante, illustrées par le parcours</w:t>
      </w:r>
    </w:p>
    <w:p>
      <w:pPr>
        <w:pStyle w:val="Normal"/>
        <w:spacing w:lineRule="auto" w:line="300" w:before="0" w:after="160"/>
        <w:jc w:val="both"/>
        <w:rPr/>
      </w:pPr>
      <w:r>
        <w:rPr>
          <w:rFonts w:eastAsia="Calibri" w:cs="Calibri"/>
          <w:sz w:val="22"/>
          <w:szCs w:val="22"/>
        </w:rPr>
        <w:t>Plusieurs qualités de dirigeante ressortent du parcours de Madame Nimaga Gnakalé KOITA — non comme des affirmations abstraites, mais comme des compétences démontrées dans l'exercice de responsabilités réelles :</w:t>
      </w:r>
    </w:p>
    <w:p>
      <w:pPr>
        <w:pStyle w:val="ListParagraph"/>
        <w:numPr>
          <w:ilvl w:val="0"/>
          <w:numId w:val="3"/>
        </w:numPr>
        <w:spacing w:before="0" w:after="100"/>
        <w:rPr/>
      </w:pPr>
      <w:r>
        <w:rPr>
          <w:rFonts w:eastAsia="Calibri" w:cs="Calibri"/>
          <w:sz w:val="22"/>
          <w:szCs w:val="22"/>
        </w:rPr>
        <w:t>Leadership et sens de l'organisation : pilotage d'agendas ministériels et de commissions municipales, où la moindre erreur d'organisation a des conséquences institutionnelles.</w:t>
      </w:r>
    </w:p>
    <w:p>
      <w:pPr>
        <w:pStyle w:val="ListParagraph"/>
        <w:numPr>
          <w:ilvl w:val="0"/>
          <w:numId w:val="1"/>
        </w:numPr>
        <w:spacing w:before="0" w:after="100"/>
        <w:rPr/>
      </w:pPr>
      <w:r>
        <w:rPr>
          <w:rFonts w:eastAsia="Calibri" w:cs="Calibri"/>
          <w:sz w:val="22"/>
          <w:szCs w:val="22"/>
        </w:rPr>
        <w:t>Capacité à gérer des dossiers complexes : dossiers de carrière retraite à la Carsat, dossiers diplomatiques au Ministère — deux univers où la rigueur documentaire est non négociable.</w:t>
      </w:r>
    </w:p>
    <w:p>
      <w:pPr>
        <w:pStyle w:val="ListParagraph"/>
        <w:numPr>
          <w:ilvl w:val="0"/>
          <w:numId w:val="1"/>
        </w:numPr>
        <w:spacing w:before="0" w:after="100"/>
        <w:rPr/>
      </w:pPr>
      <w:r>
        <w:rPr>
          <w:rFonts w:eastAsia="Calibri" w:cs="Calibri"/>
          <w:sz w:val="22"/>
          <w:szCs w:val="22"/>
        </w:rPr>
        <w:t>Rigueur, discrétion et confidentialité : exigences quotidiennes du travail auprès d'un cabinet ministériel, où l'accès à des informations sensibles impose une discipline stricte.</w:t>
      </w:r>
    </w:p>
    <w:p>
      <w:pPr>
        <w:pStyle w:val="ListParagraph"/>
        <w:numPr>
          <w:ilvl w:val="0"/>
          <w:numId w:val="1"/>
        </w:numPr>
        <w:spacing w:before="0" w:after="100"/>
        <w:rPr/>
      </w:pPr>
      <w:r>
        <w:rPr>
          <w:rFonts w:eastAsia="Calibri" w:cs="Calibri"/>
          <w:sz w:val="22"/>
          <w:szCs w:val="22"/>
        </w:rPr>
        <w:t>Esprit d'initiative et aptitude à créer des partenariats : engagement associatif depuis 2010, recherche de financements pour la coopération Vitry-Mali.</w:t>
      </w:r>
    </w:p>
    <w:p>
      <w:pPr>
        <w:pStyle w:val="ListParagraph"/>
        <w:numPr>
          <w:ilvl w:val="0"/>
          <w:numId w:val="1"/>
        </w:numPr>
        <w:spacing w:before="0" w:after="100"/>
        <w:rPr/>
      </w:pPr>
      <w:r>
        <w:rPr>
          <w:rFonts w:eastAsia="Calibri" w:cs="Calibri"/>
          <w:sz w:val="22"/>
          <w:szCs w:val="22"/>
        </w:rPr>
        <w:t>Capacité à travailler avec des institutions publiques : dix ans passés à l'intersection de collectivités locales, d'organismes sociaux et de l'État central.</w:t>
      </w:r>
    </w:p>
    <w:p>
      <w:pPr>
        <w:pStyle w:val="ListParagraph"/>
        <w:numPr>
          <w:ilvl w:val="0"/>
          <w:numId w:val="1"/>
        </w:numPr>
        <w:spacing w:before="0" w:after="100"/>
        <w:rPr/>
      </w:pPr>
      <w:r>
        <w:rPr>
          <w:rFonts w:eastAsia="Calibri" w:cs="Calibri"/>
          <w:sz w:val="22"/>
          <w:szCs w:val="22"/>
        </w:rPr>
        <w:t>Sens du service public et engagement social : choix constant, depuis 2014, de missions tournées vers l'accompagnement de publics en difficulté plutôt que vers le seul profit.</w:t>
      </w:r>
    </w:p>
    <w:p>
      <w:pPr>
        <w:pStyle w:val="Normal"/>
        <w:rPr/>
      </w:pPr>
      <w:r>
        <w:rPr/>
      </w:r>
      <w:r>
        <w:br w:type="page"/>
      </w:r>
    </w:p>
    <w:p>
      <w:pPr>
        <w:pStyle w:val="Heading2"/>
        <w:spacing w:before="0" w:after="140"/>
        <w:rPr/>
      </w:pPr>
      <w:r>
        <w:rPr>
          <w:rFonts w:eastAsia="Calibri" w:cs="Calibri" w:ascii="Calibri" w:hAnsi="Calibri"/>
          <w:b/>
          <w:bCs/>
          <w:color w:val="1B4332"/>
          <w:sz w:val="24"/>
          <w:szCs w:val="24"/>
        </w:rPr>
        <w:t>2.5 — L'équipe de lancement</w:t>
      </w:r>
    </w:p>
    <w:p>
      <w:pPr>
        <w:pStyle w:val="Normal"/>
        <w:spacing w:lineRule="auto" w:line="300" w:before="0" w:after="160"/>
        <w:jc w:val="both"/>
        <w:rPr/>
      </w:pPr>
      <w:r>
        <w:rPr>
          <w:rFonts w:eastAsia="Calibri" w:cs="Calibri"/>
          <w:sz w:val="22"/>
          <w:szCs w:val="22"/>
        </w:rPr>
        <w:t>Conformément au budget de démarrage maîtrisé, TIKVA KORIMA se lance avec une équipe resserrée de 2 salariés :</w:t>
      </w:r>
    </w:p>
    <w:p>
      <w:pPr>
        <w:pStyle w:val="ListParagraph"/>
        <w:numPr>
          <w:ilvl w:val="0"/>
          <w:numId w:val="1"/>
        </w:numPr>
        <w:spacing w:before="0" w:after="100"/>
        <w:rPr/>
      </w:pPr>
      <w:r>
        <w:rPr>
          <w:rFonts w:eastAsia="Calibri" w:cs="Calibri"/>
          <w:sz w:val="22"/>
          <w:szCs w:val="22"/>
        </w:rPr>
        <w:t>Madame Nimaga Gnakalé KOITA — Présidente fondatrice (gérante salariée) : stratégie, relations institutionnelles, supervision commerciale.</w:t>
      </w:r>
    </w:p>
    <w:p>
      <w:pPr>
        <w:pStyle w:val="ListParagraph"/>
        <w:numPr>
          <w:ilvl w:val="0"/>
          <w:numId w:val="1"/>
        </w:numPr>
        <w:spacing w:before="0" w:after="100"/>
        <w:rPr/>
      </w:pPr>
      <w:r>
        <w:rPr>
          <w:rFonts w:eastAsia="Calibri" w:cs="Calibri"/>
          <w:sz w:val="22"/>
          <w:szCs w:val="22"/>
        </w:rPr>
        <w:t>Un(e) Responsable recrutement et commercial(e) : sélection des candidats, prospection et suivi des entreprises clientes.</w:t>
      </w:r>
    </w:p>
    <w:p>
      <w:pPr>
        <w:pStyle w:val="Normal"/>
        <w:spacing w:lineRule="auto" w:line="300" w:before="0" w:after="160"/>
        <w:jc w:val="both"/>
        <w:rPr/>
      </w:pPr>
      <w:r>
        <w:rPr>
          <w:rFonts w:eastAsia="Calibri" w:cs="Calibri"/>
          <w:sz w:val="22"/>
          <w:szCs w:val="22"/>
        </w:rPr>
        <w:t>Ananfah Donfack Roger, né en 1983 à Tombel (Cameroun), formé en électrotechnique et Facility Management en Allemagne (Hochschule Wismar, Hochschule Berlin) et fort d'une expérience chez STRABAG et Vinci, intervient en appui sur le pôle bâtiment et travaux publics, sans salaire fixe — sa rémunération étant liée aux résultats de ce pôle.</w:t>
      </w:r>
    </w:p>
    <w:p>
      <w:pPr>
        <w:pStyle w:val="Heading2"/>
        <w:spacing w:before="280" w:after="140"/>
        <w:rPr/>
      </w:pPr>
      <w:r>
        <w:rPr>
          <w:rFonts w:eastAsia="Calibri" w:cs="Calibri" w:ascii="Calibri" w:hAnsi="Calibri"/>
          <w:b/>
          <w:bCs/>
          <w:color w:val="1B4332"/>
          <w:sz w:val="24"/>
          <w:szCs w:val="24"/>
        </w:rPr>
        <w:t>2.6 — Vision à long terme (horizon 2031)</w:t>
      </w:r>
    </w:p>
    <w:p>
      <w:pPr>
        <w:pStyle w:val="Normal"/>
        <w:spacing w:lineRule="auto" w:line="300" w:before="0" w:after="160"/>
        <w:jc w:val="both"/>
        <w:rPr/>
      </w:pPr>
      <w:r>
        <w:rPr>
          <w:rFonts w:eastAsia="Calibri" w:cs="Calibri"/>
          <w:sz w:val="22"/>
          <w:szCs w:val="22"/>
        </w:rPr>
        <w:t>Dès le plan fondateur de 2014, l'ambition dépassait la seule activité de placement : il s'agissait de construire, avec le temps, un centre de formation, un accompagnement social structuré et un réseau de partenaires institutionnels au service de l'insertion. Cette ambition reste celle de TIKVA KORIMA à horizon 2031, portée directement par l'entreprise et non déléguée à des tiers, à travers ses deux lignes d'activité (la mission d'insertion n'étant plus une intention annexe mais l'un des deux moteurs opérationnels de l'entreprise) :</w:t>
      </w:r>
    </w:p>
    <w:p>
      <w:pPr>
        <w:pStyle w:val="ListParagraph"/>
        <w:numPr>
          <w:ilvl w:val="0"/>
          <w:numId w:val="1"/>
        </w:numPr>
        <w:spacing w:lineRule="auto" w:line="300" w:before="0" w:after="80"/>
        <w:jc w:val="both"/>
        <w:rPr/>
      </w:pPr>
      <w:r>
        <w:rPr>
          <w:rFonts w:eastAsia="Calibri" w:cs="Calibri"/>
          <w:sz w:val="22"/>
          <w:szCs w:val="22"/>
        </w:rPr>
        <w:t>Un module de formation courte et de remise à niveau adossé au recrutement, pour les candidats peu qualifiés ou en reconversion (déjà amorcé via l'objectif de 50 candidats formés en année 1).</w:t>
      </w:r>
    </w:p>
    <w:p>
      <w:pPr>
        <w:pStyle w:val="ListParagraph"/>
        <w:numPr>
          <w:ilvl w:val="0"/>
          <w:numId w:val="1"/>
        </w:numPr>
        <w:spacing w:lineRule="auto" w:line="300" w:before="0" w:after="80"/>
        <w:jc w:val="both"/>
        <w:rPr/>
      </w:pPr>
      <w:r>
        <w:rPr>
          <w:rFonts w:eastAsia="Calibri" w:cs="Calibri"/>
          <w:sz w:val="22"/>
          <w:szCs w:val="22"/>
        </w:rPr>
        <w:t>Une structure d'accueil et d'accompagnement social pour les publics les plus vulnérables (femmes en situation d'exclusion, jeunes sans qualification, personnes en reconversion), adossée à la deuxième ligne d'activité (nettoyage, gardiennage, conciergerie, BTP, agriculture) : ces équipes de prestation directe permettent à TIKVA KORIMA d'employer elle-même ces publics, sans dépendre de l'acceptation d'un client tiers — et de nouer, en complément, des partenariats avec des ONG et agences de développement pour le suivi social.</w:t>
      </w:r>
    </w:p>
    <w:p>
      <w:pPr>
        <w:pStyle w:val="ListParagraph"/>
        <w:numPr>
          <w:ilvl w:val="0"/>
          <w:numId w:val="1"/>
        </w:numPr>
        <w:spacing w:lineRule="auto" w:line="300" w:before="0" w:after="80"/>
        <w:jc w:val="both"/>
        <w:rPr/>
      </w:pPr>
      <w:r>
        <w:rPr>
          <w:rFonts w:eastAsia="Calibri" w:cs="Calibri"/>
          <w:sz w:val="22"/>
          <w:szCs w:val="22"/>
        </w:rPr>
        <w:t>Un réseau de partenaires élargi (institutions publiques maliennes, coopération France-Mali, bailleurs sociaux) prolongeant l'ancrage institutionnel déjà engagé par la fondatrice.</w:t>
      </w:r>
    </w:p>
    <w:p>
      <w:pPr>
        <w:pStyle w:val="ListParagraph"/>
        <w:numPr>
          <w:ilvl w:val="0"/>
          <w:numId w:val="1"/>
        </w:numPr>
        <w:spacing w:lineRule="auto" w:line="300" w:before="0" w:after="80"/>
        <w:jc w:val="both"/>
        <w:rPr/>
      </w:pPr>
      <w:r>
        <w:rPr>
          <w:rFonts w:eastAsia="Calibri" w:cs="Calibri"/>
          <w:sz w:val="22"/>
          <w:szCs w:val="22"/>
        </w:rPr>
        <w:t>Une extension progressive de l'offre RH (externalisation, gestion de paie, conseil) au-delà du seul recrutement, à mesure que la structure se consolide.</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3. POURQUOI TIKVA KORIMA RÉUSSIRA</w:t>
      </w:r>
    </w:p>
    <w:p>
      <w:pPr>
        <w:pStyle w:val="Normal"/>
        <w:spacing w:lineRule="auto" w:line="300" w:before="0" w:after="160"/>
        <w:jc w:val="both"/>
        <w:rPr/>
      </w:pPr>
      <w:r>
        <w:rPr>
          <w:rFonts w:eastAsia="Calibri" w:cs="Calibri"/>
          <w:sz w:val="22"/>
          <w:szCs w:val="22"/>
        </w:rPr>
        <w:t>La réussite d'une agence de travail temporaire ne se joue pas uniquement sur la pertinence de l'idée — un marché malien peu structuré et une demande réelle existent déjà. Elle se joue sur la capacité de l'équipe dirigeante à l'exécuter.</w:t>
      </w:r>
    </w:p>
    <w:p>
      <w:pPr>
        <w:pStyle w:val="ListParagraph"/>
        <w:numPr>
          <w:ilvl w:val="0"/>
          <w:numId w:val="1"/>
        </w:numPr>
        <w:spacing w:before="0" w:after="100"/>
        <w:rPr/>
      </w:pPr>
      <w:r>
        <w:rPr>
          <w:rFonts w:eastAsia="Calibri" w:cs="Calibri"/>
          <w:sz w:val="22"/>
          <w:szCs w:val="22"/>
        </w:rPr>
        <w:t>Plus de dix ans d'expérience cumulée en ressources humaines et recrutement, dont quatre ans directement dans l'intérim.</w:t>
      </w:r>
    </w:p>
    <w:p>
      <w:pPr>
        <w:pStyle w:val="ListParagraph"/>
        <w:numPr>
          <w:ilvl w:val="0"/>
          <w:numId w:val="1"/>
        </w:numPr>
        <w:spacing w:before="0" w:after="100"/>
        <w:rPr/>
      </w:pPr>
      <w:r>
        <w:rPr>
          <w:rFonts w:eastAsia="Calibri" w:cs="Calibri"/>
          <w:sz w:val="22"/>
          <w:szCs w:val="22"/>
        </w:rPr>
        <w:t>Expérience directe de l'administration publique française, au niveau local et central — une double lecture rare des mécanismes institutionnels.</w:t>
      </w:r>
    </w:p>
    <w:p>
      <w:pPr>
        <w:pStyle w:val="ListParagraph"/>
        <w:numPr>
          <w:ilvl w:val="0"/>
          <w:numId w:val="1"/>
        </w:numPr>
        <w:spacing w:before="0" w:after="100"/>
        <w:rPr/>
      </w:pPr>
      <w:r>
        <w:rPr>
          <w:rFonts w:eastAsia="Calibri" w:cs="Calibri"/>
          <w:sz w:val="22"/>
          <w:szCs w:val="22"/>
        </w:rPr>
        <w:t>Réseau institutionnel développé en France comme au Mali, par la coopération associative de longue date.</w:t>
      </w:r>
    </w:p>
    <w:p>
      <w:pPr>
        <w:pStyle w:val="ListParagraph"/>
        <w:numPr>
          <w:ilvl w:val="0"/>
          <w:numId w:val="1"/>
        </w:numPr>
        <w:spacing w:before="0" w:after="100"/>
        <w:rPr/>
      </w:pPr>
      <w:r>
        <w:rPr>
          <w:rFonts w:eastAsia="Calibri" w:cs="Calibri"/>
          <w:sz w:val="22"/>
          <w:szCs w:val="22"/>
        </w:rPr>
        <w:t>Accompagnement direct de publics vers l'emploi et connaissance fine des dispositifs sociaux, acquis à la Carsat.</w:t>
      </w:r>
    </w:p>
    <w:p>
      <w:pPr>
        <w:pStyle w:val="Normal"/>
        <w:spacing w:lineRule="auto" w:line="300" w:before="0" w:after="160"/>
        <w:jc w:val="both"/>
        <w:rPr/>
      </w:pPr>
      <w:r>
        <w:rPr>
          <w:rFonts w:eastAsia="Calibri" w:cs="Calibri"/>
          <w:sz w:val="22"/>
          <w:szCs w:val="22"/>
        </w:rPr>
        <w:t>C'est la combinaison de ces expériences — et non leur simple juxtaposition — qui constitue l'avantage compétitif de TIKVA KORIMA. Un concurrent malien peut avoir l'expérience opérationnelle du recrutement ; peu peuvent y adjoindre une expérience aussi directe des institutions françaises et un réseau construit des deux côtés de la Méditerranée.</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4. TIKVA KORIMA, UNE MARQUE AFRICAINE</w:t>
      </w:r>
    </w:p>
    <w:p>
      <w:pPr>
        <w:pStyle w:val="Normal"/>
        <w:spacing w:lineRule="auto" w:line="300" w:before="0" w:after="160"/>
        <w:jc w:val="both"/>
        <w:rPr/>
      </w:pPr>
      <w:r>
        <w:rPr>
          <w:rFonts w:eastAsia="Calibri" w:cs="Calibri"/>
          <w:sz w:val="22"/>
          <w:szCs w:val="22"/>
        </w:rPr>
        <w:t>TIKVA KORIMA ne se conçoit pas comme une simple agence d'intérim, mais comme une marque porteuse d'une ambition claire : « L'emploi au service du développement humain ». Cette identité repose sur trois piliers qui seront déclinés dans l'ensemble des supports de communication :</w:t>
      </w:r>
    </w:p>
    <w:p>
      <w:pPr>
        <w:pStyle w:val="ListParagraph"/>
        <w:numPr>
          <w:ilvl w:val="0"/>
          <w:numId w:val="1"/>
        </w:numPr>
        <w:spacing w:before="0" w:after="100"/>
        <w:rPr/>
      </w:pPr>
      <w:r>
        <w:rPr>
          <w:rFonts w:eastAsia="Calibri" w:cs="Calibri"/>
          <w:sz w:val="22"/>
          <w:szCs w:val="22"/>
        </w:rPr>
        <w:t>La rigueur professionnelle d'une agence de recrutement moderne.</w:t>
      </w:r>
    </w:p>
    <w:p>
      <w:pPr>
        <w:pStyle w:val="ListParagraph"/>
        <w:numPr>
          <w:ilvl w:val="0"/>
          <w:numId w:val="1"/>
        </w:numPr>
        <w:spacing w:before="0" w:after="100"/>
        <w:rPr/>
      </w:pPr>
      <w:r>
        <w:rPr>
          <w:rFonts w:eastAsia="Calibri" w:cs="Calibri"/>
          <w:sz w:val="22"/>
          <w:szCs w:val="22"/>
        </w:rPr>
        <w:t>L'exigence sociale d'une structure d'insertion.</w:t>
      </w:r>
    </w:p>
    <w:p>
      <w:pPr>
        <w:pStyle w:val="ListParagraph"/>
        <w:numPr>
          <w:ilvl w:val="0"/>
          <w:numId w:val="1"/>
        </w:numPr>
        <w:spacing w:before="0" w:after="100"/>
        <w:rPr/>
      </w:pPr>
      <w:r>
        <w:rPr>
          <w:rFonts w:eastAsia="Calibri" w:cs="Calibri"/>
          <w:sz w:val="22"/>
          <w:szCs w:val="22"/>
        </w:rPr>
        <w:t>L'ancrage institutionnel d'un projet porté par une fondatrice reconnue à la fois par les administrations françaises et par le tissu associatif franco-malien.</w:t>
      </w:r>
    </w:p>
    <w:p>
      <w:pPr>
        <w:pStyle w:val="Normal"/>
        <w:spacing w:lineRule="auto" w:line="300" w:before="0" w:after="160"/>
        <w:jc w:val="both"/>
        <w:rPr/>
      </w:pPr>
      <w:r>
        <w:rPr>
          <w:rFonts w:eastAsia="Calibri" w:cs="Calibri"/>
          <w:sz w:val="22"/>
          <w:szCs w:val="22"/>
        </w:rPr>
        <w:t>Ce positionnement distingue TIKVA KORIMA de toute structure existante sur le marché malien de l'intermédiation professionnelle, qu'il s'agisse des agences publiques (ANPE, APEJ) ou des bureaux privés regroupés au sein du CONABEM. Cette ambition se traduit concrètement par deux lignes d'activité complémentaires — le recrutement et la mise à disposition de personnel d'une part, la prestation directe de services (nettoyage, gardiennage, conciergerie, BTP, agriculture) d'autre part — détaillées au chapitre 7.</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5. LE MARCHÉ MALIEN DE L'EMPLOI</w:t>
      </w:r>
    </w:p>
    <w:p>
      <w:pPr>
        <w:pStyle w:val="Heading2"/>
        <w:spacing w:before="280" w:after="140"/>
        <w:rPr/>
      </w:pPr>
      <w:r>
        <w:rPr>
          <w:rFonts w:eastAsia="Calibri" w:cs="Calibri" w:ascii="Calibri" w:hAnsi="Calibri"/>
          <w:b/>
          <w:bCs/>
          <w:color w:val="1B4332"/>
          <w:sz w:val="24"/>
          <w:szCs w:val="24"/>
        </w:rPr>
        <w:t>5.1 — Contexte macroéconomique</w:t>
      </w:r>
    </w:p>
    <w:p>
      <w:pPr>
        <w:pStyle w:val="Normal"/>
        <w:spacing w:lineRule="auto" w:line="300" w:before="0" w:after="160"/>
        <w:jc w:val="both"/>
        <w:rPr/>
      </w:pPr>
      <w:r>
        <w:rPr>
          <w:rFonts w:eastAsia="Calibri" w:cs="Calibri"/>
          <w:sz w:val="22"/>
          <w:szCs w:val="22"/>
        </w:rPr>
        <w:t>Le Mali connaît depuis la transition institutionnelle d'août 2020 une gouvernance dirigée par le Colonel Assimi Goïta, confirmé chef de l'État par la Cour constitutionnelle en mai 2021 ; en mai 2025, le gouvernement a procédé à la dissolution de l'ensemble des partis politiques. L'instabilité sécuritaire reste concentrée dans le Nord et le Centre du pays ; Bamako conserve un fonctionnement institutionnel plus stable, ce qui conforte le choix de la capitale comme point d'ancrage.</w:t>
      </w:r>
    </w:p>
    <w:p>
      <w:pPr>
        <w:pStyle w:val="Normal"/>
        <w:spacing w:lineRule="auto" w:line="300" w:before="0" w:after="160"/>
        <w:jc w:val="both"/>
        <w:rPr/>
      </w:pPr>
      <w:r>
        <w:rPr>
          <w:rFonts w:eastAsia="Calibri" w:cs="Calibri"/>
          <w:sz w:val="22"/>
          <w:szCs w:val="22"/>
        </w:rPr>
        <w:t>La croissance du PIB malien s'établit à 4,9 % en 2025 et devrait rebondir à 5,5 % en 2026 selon le FMI, portée par la reprise de la production d'or, le démarrage de la production de lithium et la bonne tenue de l'agriculture et des services (FMI, 2ᵉ revue du programme de référence, 2026 ; Banque mondiale, 2026). 95,5 % des emplois se situent toutefois en dehors du secteur formel (Direction générale du Trésor français, 2025) et l'OIT estime que près des trois quarts de la population active exercent dans l'économie informelle au sens large — le vivier même que TIKVA KORIMA se propose de structurer. Environ 235 000 jeunes arrivent chaque année sur le marché du travail (Banque mondiale, 2026), pour un taux de pauvreté estimé à 36,4 % en 2025 (Banque mondiale, 2026) — un niveau resté quasiment stable malgré la reprise économique, ce qui confirme le besoin d'un accès facilité et sécurisé à l'emploi plutôt que la seule croissance macroéconomique.</w:t>
      </w:r>
    </w:p>
    <w:p>
      <w:pPr>
        <w:pStyle w:val="Heading2"/>
        <w:spacing w:before="280" w:after="140"/>
        <w:rPr/>
      </w:pPr>
      <w:r>
        <w:rPr>
          <w:rFonts w:eastAsia="Calibri" w:cs="Calibri" w:ascii="Calibri" w:hAnsi="Calibri"/>
          <w:b/>
          <w:bCs/>
          <w:color w:val="1B4332"/>
          <w:sz w:val="24"/>
          <w:szCs w:val="24"/>
        </w:rPr>
        <w:t>5.2 — Un marché peu structuré et peu transparent</w:t>
      </w:r>
    </w:p>
    <w:p>
      <w:pPr>
        <w:pStyle w:val="Normal"/>
        <w:spacing w:lineRule="auto" w:line="300" w:before="0" w:after="160"/>
        <w:jc w:val="both"/>
        <w:rPr/>
      </w:pPr>
      <w:r>
        <w:rPr>
          <w:rFonts w:eastAsia="Calibri" w:cs="Calibri"/>
          <w:sz w:val="22"/>
          <w:szCs w:val="22"/>
        </w:rPr>
        <w:t>Le taux de chômage officiel — mesuré selon la définition stricte du BIT (sans emploi, disponible, en recherche active) — s'établissait à 3,5 % en 2024 (INSTAT/BIT), puis à 5,7 % en 2025 selon la deuxième passe de l'Enquête Modulaire Permanente auprès des Ménages (INSTAT, EMOP 2025). Ce chiffre bas, reconnu comme tel par l'INSTAT elle-même dans une note conjointe avec le ministère de l'Économie et des Finances, reflète surtout l'absorption de la main-d'œuvre par l'agriculture de subsistance et l'informel plutôt qu'un marché de l'emploi structuré et rémunérateur (INSTAT, 2025). C'est précisément cet écart entre statistique officielle et réalité du terrain que TIKVA KORIMA entend combler par une intermédiation formalisée.</w:t>
      </w:r>
    </w:p>
    <w:p>
      <w:pPr>
        <w:pStyle w:val="Normal"/>
        <w:spacing w:lineRule="auto" w:line="300" w:before="0" w:after="160"/>
        <w:jc w:val="both"/>
        <w:rPr/>
      </w:pPr>
      <w:r>
        <w:rPr>
          <w:rFonts w:eastAsia="Calibri" w:cs="Calibri"/>
          <w:sz w:val="22"/>
          <w:szCs w:val="22"/>
        </w:rPr>
        <w:t>Le recours aux canaux formels de placement (ANPE, agences privées) reste minoritaire face aux relations personnelles — signe d'un marché à coûts de transaction élevés, qu'une agence organisée et digitalisée peut assainir. Le bilan 2024 de l'ANPE l'illustre : sur une prévision de 3 750 emplois à générer via la promotion de l'auto-emploi, seuls 2 109 ont été comptabilisés sur les onze premiers mois de l'année, soit un taux de réalisation de 56 % (ANPE Mali, bilan d'activité 2024). Le lancement de la plateforme numérique « Baara ANPE », développée avec le secteur privé regroupé au sein du CONABEM, traduit une prise de conscience de ce besoin de digitalisation — sur laquelle TIKVA KORIMA peut construire une offre plus complète, mêlant sélection rigoureuse, accompagnement social et suivi digitalisé. Bamako concentre la majorité de l'activité économique formelle et des offres d'emploi enregistrées, ce qui en fait la zone de lancement naturelle du projet.</w:t>
      </w:r>
    </w:p>
    <w:p>
      <w:pPr>
        <w:pStyle w:val="Normal"/>
        <w:spacing w:lineRule="auto" w:line="300" w:before="0" w:after="160"/>
        <w:jc w:val="both"/>
        <w:rPr/>
      </w:pPr>
      <w:r>
        <w:rPr>
          <w:rFonts w:eastAsia="Calibri" w:cs="Calibri"/>
          <w:sz w:val="22"/>
          <w:szCs w:val="22"/>
        </w:rPr>
        <w:t>L'activité de placement et d'intérim au Mali est encadrée par le Code du travail (décret n° 96-178/P-RM du 13 juin 1996), sous l'autorité du Ministère du Travail. Les bureaux privés agréés sont regroupés depuis 2006 au sein du CONABEM. TIKVA KORIMA devra obtenir l'agrément requis préalablement à son lancement commercial.</w:t>
      </w:r>
    </w:p>
    <w:p>
      <w:pPr>
        <w:pStyle w:val="Normal"/>
        <w:spacing w:lineRule="auto" w:line="240" w:before="120" w:after="0"/>
        <w:jc w:val="both"/>
        <w:rPr>
          <w:i/>
          <w:iCs/>
        </w:rPr>
      </w:pPr>
      <w:r>
        <w:rPr>
          <w:rFonts w:eastAsia="Calibri" w:cs="Calibri"/>
          <w:i/>
          <w:iCs/>
          <w:sz w:val="18"/>
          <w:szCs w:val="18"/>
          <w:color w:val="666666"/>
        </w:rPr>
        <w:t>Sources de ce chapitre : Institut National de la Statistique du Mali — INSTAT (EMOP 2025, note conjointe avec le Ministère de l'Économie et des Finances) ; Bureau International du Travail — BIT/OIT (définition du chômage, estimation de l'emploi informel) ; Fonds Monétaire International — FMI (2ᵉ revue du programme de référence, rapport n° 26/165, 2026) ; Groupe de la Banque mondiale (fiche pays Mali, mise à jour 2026) ; Direction générale du Trésor français (situation économique et financière du Mali, 2025) ; Agence Nationale Pour l'Emploi — ANPE Mali (bilan d'activité 2024). Chiffres à actualiser à chaque nouvelle publication de ces organismes.</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6. ANALYSE CONCURRENTIELLE</w:t>
      </w:r>
    </w:p>
    <w:p>
      <w:pPr>
        <w:pStyle w:val="Normal"/>
        <w:spacing w:lineRule="auto" w:line="300" w:before="0" w:after="160"/>
        <w:jc w:val="both"/>
        <w:rPr/>
      </w:pPr>
      <w:r>
        <w:rPr>
          <w:rFonts w:eastAsia="Calibri" w:cs="Calibri"/>
          <w:sz w:val="22"/>
          <w:szCs w:val="22"/>
        </w:rPr>
        <w:t>Le marché malien de l'intermédiation professionnelle est structuré autour de deux familles d'acteurs, dont l'analyse comparative met en évidence l'espace disponible pour TIKVA KORIMA.</w:t>
      </w:r>
    </w:p>
    <w:tbl>
      <w:tblPr>
        <w:tblW w:w="9000" w:type="dxa"/>
        <w:jc w:val="start"/>
        <w:tblInd w:w="0" w:type="dxa"/>
        <w:tblLayout w:type="fixed"/>
        <w:tblCellMar>
          <w:top w:w="0" w:type="dxa"/>
          <w:start w:w="108" w:type="dxa"/>
          <w:bottom w:w="0" w:type="dxa"/>
          <w:end w:w="108" w:type="dxa"/>
        </w:tblCellMar>
      </w:tblPr>
      <w:tblGrid>
        <w:gridCol w:w="2999"/>
        <w:gridCol w:w="6001"/>
      </w:tblGrid>
      <w:tr>
        <w:trPr/>
        <w:tc>
          <w:tcPr>
            <w:tcW w:w="29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Acteur</w:t>
            </w:r>
          </w:p>
        </w:tc>
        <w:tc>
          <w:tcPr>
            <w:tcW w:w="60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Positionnement face à TIKVA KORIMA</w:t>
            </w:r>
          </w:p>
        </w:tc>
      </w:tr>
      <w:tr>
        <w:trPr/>
        <w:tc>
          <w:tcPr>
            <w:tcW w:w="29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Secteur public (ANPE, APEJ)</w:t>
            </w:r>
          </w:p>
        </w:tc>
        <w:tc>
          <w:tcPr>
            <w:tcW w:w="60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Fonds publics, accueil et orientation — mais recrutements de gré à gré, aucun accompagnement social individualisé.</w:t>
            </w:r>
          </w:p>
        </w:tc>
      </w:tr>
      <w:tr>
        <w:trPr/>
        <w:tc>
          <w:tcPr>
            <w:tcW w:w="29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Bureaux privés (CONABEM : ~150 organismes)</w:t>
            </w:r>
          </w:p>
        </w:tc>
        <w:tc>
          <w:tcPr>
            <w:tcW w:w="60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Connaissance du tissu local — mais offre concentrée sur les postes peu qualifiés, faible activité réelle, aucune digitalisation.</w:t>
            </w:r>
          </w:p>
        </w:tc>
      </w:tr>
      <w:tr>
        <w:trPr/>
        <w:tc>
          <w:tcPr>
            <w:tcW w:w="29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TIKVA KORIMA</w:t>
            </w:r>
          </w:p>
        </w:tc>
        <w:tc>
          <w:tcPr>
            <w:tcW w:w="60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Contractualisation systématique, accompagnement social et formation, réseau institutionnel franco-malien, digitalisation progressive du suivi des missions.</w:t>
            </w:r>
          </w:p>
        </w:tc>
      </w:tr>
    </w:tbl>
    <w:p>
      <w:pPr>
        <w:pStyle w:val="Normal"/>
        <w:spacing w:before="200" w:after="0"/>
        <w:rPr/>
      </w:pPr>
      <w:r>
        <w:rPr/>
      </w:r>
    </w:p>
    <w:p>
      <w:pPr>
        <w:pStyle w:val="Normal"/>
        <w:spacing w:lineRule="auto" w:line="300" w:before="0" w:after="160"/>
        <w:jc w:val="both"/>
        <w:rPr/>
      </w:pPr>
      <w:r>
        <w:rPr>
          <w:rFonts w:eastAsia="Calibri" w:cs="Calibri"/>
          <w:sz w:val="22"/>
          <w:szCs w:val="22"/>
        </w:rPr>
        <w:t>Aucun acteur existant ne combine aujourd'hui rigueur contractuelle, accompagnement social et digitalisation du suivi des missions. TIKVA KORIMA peut ainsi se positionner comme premier acteur structuré du marché malien de l'intérim, à la fois fiable pour les entreprises et porteur de sens pour les candidats placés.</w:t>
      </w:r>
    </w:p>
    <w:p>
      <w:pPr>
        <w:pStyle w:val="Heading2"/>
        <w:spacing w:before="280" w:after="140"/>
        <w:rPr/>
      </w:pPr>
      <w:r>
        <w:rPr>
          <w:rFonts w:eastAsia="Calibri" w:cs="Calibri" w:ascii="Calibri" w:hAnsi="Calibri"/>
          <w:b/>
          <w:bCs/>
          <w:color w:val="1B4332"/>
          <w:sz w:val="24"/>
          <w:szCs w:val="24"/>
        </w:rPr>
        <w:t>6.1 — Matrice SWOT</w:t>
      </w:r>
    </w:p>
    <w:tbl>
      <w:tblPr>
        <w:tblW w:w="9000" w:type="dxa"/>
        <w:jc w:val="start"/>
        <w:tblInd w:w="0" w:type="dxa"/>
        <w:tblLayout w:type="fixed"/>
        <w:tblCellMar>
          <w:top w:w="0" w:type="dxa"/>
          <w:start w:w="108" w:type="dxa"/>
          <w:bottom w:w="0" w:type="dxa"/>
          <w:end w:w="108" w:type="dxa"/>
        </w:tblCellMar>
      </w:tblPr>
      <w:tblGrid>
        <w:gridCol w:w="4500"/>
        <w:gridCol w:w="4500"/>
      </w:tblGrid>
      <w:tr>
        <w:trPr/>
        <w:tc>
          <w:tcPr>
            <w:tcW w:w="45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Forces</w:t>
            </w:r>
          </w:p>
        </w:tc>
        <w:tc>
          <w:tcPr>
            <w:tcW w:w="45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Faiblesses</w:t>
            </w:r>
          </w:p>
        </w:tc>
      </w:tr>
      <w:tr>
        <w:trPr/>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Fondatrice au parcours institutionnel unique (Ministère, Mairie, Carsat) · Mission sociale forte et différenciante · Réseau franco-malien actif depuis 2010 · Premier positionnement structuré sur l'insertion des publics exclus</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Structure en phase de démarrage, sans historique d'exploitation · Équipe réduite à 2 salariés · Main-d'œuvre locale à former · Financement de départ à sécuriser</w:t>
            </w:r>
          </w:p>
        </w:tc>
      </w:tr>
      <w:tr>
        <w:trPr/>
        <w:tc>
          <w:tcPr>
            <w:tcW w:w="45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Opportunités</w:t>
            </w:r>
          </w:p>
        </w:tc>
        <w:tc>
          <w:tcPr>
            <w:tcW w:w="45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Menaces</w:t>
            </w:r>
          </w:p>
        </w:tc>
      </w:tr>
      <w:tr>
        <w:trPr/>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Quasi-absence d'agences d'intérim structurées et digitalisées à Bamako · Croissance économique malienne attendue autour de 5 % en 2026-2027 · 235 000 jeunes entrant chaque année sur le marché du travail · Priorité affichée des bailleurs internationaux pour l'emploi des jeunes et des femmes au Mali</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Instabilité politique et sécuritaire persistante dans certaines régions · Accès au financement bancaire encore contraint pour les jeunes entreprises · Économie informelle dominante · Délestages électriques récurrents</w:t>
            </w:r>
          </w:p>
        </w:tc>
      </w:tr>
    </w:tbl>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7. SOLUTION ET MODÈLE ÉCONOMIQUE</w:t>
      </w:r>
    </w:p>
    <w:p>
      <w:pPr>
        <w:pStyle w:val="Heading2"/>
        <w:spacing w:before="280" w:after="140"/>
        <w:rPr/>
      </w:pPr>
      <w:r>
        <w:rPr>
          <w:rFonts w:eastAsia="Calibri" w:cs="Calibri" w:ascii="Calibri" w:hAnsi="Calibri"/>
          <w:b/>
          <w:bCs/>
          <w:color w:val="1B4332"/>
          <w:sz w:val="24"/>
          <w:szCs w:val="24"/>
        </w:rPr>
        <w:t>7.1 — Quatre piliers</w:t>
      </w:r>
    </w:p>
    <w:p>
      <w:pPr>
        <w:pStyle w:val="ListParagraph"/>
        <w:numPr>
          <w:ilvl w:val="0"/>
          <w:numId w:val="1"/>
        </w:numPr>
        <w:spacing w:before="0" w:after="100"/>
        <w:rPr/>
      </w:pPr>
      <w:r>
        <w:rPr>
          <w:rFonts w:eastAsia="Calibri" w:cs="Calibri"/>
          <w:sz w:val="22"/>
          <w:szCs w:val="22"/>
        </w:rPr>
        <w:t>Une entreprise de recrutement rigoureuse et digitalisée, avec une méthode de sélection documentée en 5 étapes et une garantie de remplacement des candidats.</w:t>
      </w:r>
    </w:p>
    <w:p>
      <w:pPr>
        <w:pStyle w:val="ListParagraph"/>
        <w:numPr>
          <w:ilvl w:val="0"/>
          <w:numId w:val="1"/>
        </w:numPr>
        <w:spacing w:before="0" w:after="100"/>
        <w:rPr/>
      </w:pPr>
      <w:r>
        <w:rPr>
          <w:rFonts w:eastAsia="Calibri" w:cs="Calibri"/>
          <w:sz w:val="22"/>
          <w:szCs w:val="22"/>
        </w:rPr>
        <w:t>Un dispositif de formation courte pour les candidats les plus éloignés de l'emploi, avant leur premier placement.</w:t>
      </w:r>
    </w:p>
    <w:p>
      <w:pPr>
        <w:pStyle w:val="ListParagraph"/>
        <w:numPr>
          <w:ilvl w:val="0"/>
          <w:numId w:val="1"/>
        </w:numPr>
        <w:spacing w:before="0" w:after="100"/>
        <w:rPr/>
      </w:pPr>
      <w:r>
        <w:rPr>
          <w:rFonts w:eastAsia="Calibri" w:cs="Calibri"/>
          <w:sz w:val="22"/>
          <w:szCs w:val="22"/>
        </w:rPr>
        <w:t>Un accompagnement social individualisé des salariés placés, en particulier des femmes et des jeunes vulnérables.</w:t>
      </w:r>
    </w:p>
    <w:p>
      <w:pPr>
        <w:pStyle w:val="ListParagraph"/>
        <w:numPr>
          <w:ilvl w:val="0"/>
          <w:numId w:val="1"/>
        </w:numPr>
        <w:spacing w:before="0" w:after="100"/>
        <w:rPr/>
      </w:pPr>
      <w:r>
        <w:rPr>
          <w:rFonts w:eastAsia="Calibri" w:cs="Calibri"/>
          <w:sz w:val="22"/>
          <w:szCs w:val="22"/>
        </w:rPr>
        <w:t>Un portefeuille de services aux entreprises (recrutement en poste fixe, conseil RH, et — à titre complémentaire selon les secteurs d'activité — mise à disposition ponctuelle de personnel intérimaire) qui finance la mission sociale.</w:t>
      </w:r>
    </w:p>
    <w:p>
      <w:pPr>
        <w:pStyle w:val="Heading2"/>
        <w:spacing w:before="280" w:after="140"/>
        <w:rPr/>
      </w:pPr>
      <w:r>
        <w:rPr>
          <w:rFonts w:eastAsia="Calibri" w:cs="Calibri" w:ascii="Calibri" w:hAnsi="Calibri"/>
          <w:b/>
          <w:bCs/>
          <w:color w:val="1B4332"/>
          <w:sz w:val="24"/>
          <w:szCs w:val="24"/>
        </w:rPr>
        <w:t>7.2 — Business Model Canvas</w:t>
      </w:r>
    </w:p>
    <w:tbl>
      <w:tblPr>
        <w:tblW w:w="9000" w:type="dxa"/>
        <w:jc w:val="start"/>
        <w:tblInd w:w="0" w:type="dxa"/>
        <w:tblLayout w:type="fixed"/>
        <w:tblCellMar>
          <w:top w:w="0" w:type="dxa"/>
          <w:start w:w="108" w:type="dxa"/>
          <w:bottom w:w="0" w:type="dxa"/>
          <w:end w:w="108" w:type="dxa"/>
        </w:tblCellMar>
      </w:tblPr>
      <w:tblGrid>
        <w:gridCol w:w="3000"/>
        <w:gridCol w:w="1500"/>
        <w:gridCol w:w="1500"/>
        <w:gridCol w:w="3000"/>
      </w:tblGrid>
      <w:tr>
        <w:trPr/>
        <w:tc>
          <w:tcPr>
            <w:tcW w:w="3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Partenaires clés</w:t>
            </w:r>
          </w:p>
        </w:tc>
        <w:tc>
          <w:tcPr>
            <w:tcW w:w="30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Activités clés</w:t>
            </w:r>
          </w:p>
        </w:tc>
        <w:tc>
          <w:tcPr>
            <w:tcW w:w="3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Proposition de valeur</w:t>
            </w:r>
          </w:p>
        </w:tc>
      </w:tr>
      <w:tr>
        <w:trPr/>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ONG d'insertion féminine · Ambassades · AFD, Bpifrance · CONABEM</w:t>
            </w:r>
          </w:p>
        </w:tc>
        <w:tc>
          <w:tcPr>
            <w:tcW w:w="30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Recrutement et sélection · Formation · Placement et suivi · Accompagnement social</w:t>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Main-d'œuvre fiable et suivie pour les entreprises · Seconde chance professionnelle pour les travailleurs insérés</w:t>
            </w:r>
          </w:p>
        </w:tc>
      </w:tr>
      <w:tr>
        <w:trPr/>
        <w:tc>
          <w:tcPr>
            <w:tcW w:w="3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Ressources clés</w:t>
            </w:r>
          </w:p>
        </w:tc>
        <w:tc>
          <w:tcPr>
            <w:tcW w:w="30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Segments de clientèle</w:t>
            </w:r>
          </w:p>
        </w:tc>
        <w:tc>
          <w:tcPr>
            <w:tcW w:w="3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Canaux de distribution</w:t>
            </w:r>
          </w:p>
        </w:tc>
      </w:tr>
      <w:tr>
        <w:trPr/>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Réseau institutionnel France-Mali · Équipe commerciale · Vivier de candidats formés</w:t>
            </w:r>
          </w:p>
        </w:tc>
        <w:tc>
          <w:tcPr>
            <w:tcW w:w="30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Secteur privé (BTP, hôtellerie, banques) · Secteur public · Particuliers · Jeunes et femmes en insertion</w:t>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Agence physique à Bamako · Plateforme numérique de mise en relation (à développer)</w:t>
            </w:r>
          </w:p>
        </w:tc>
      </w:tr>
      <w:tr>
        <w:trPr/>
        <w:tc>
          <w:tcPr>
            <w:tcW w:w="45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Structure de coûts</w:t>
            </w:r>
          </w:p>
        </w:tc>
        <w:tc>
          <w:tcPr>
            <w:tcW w:w="45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Sources de revenus</w:t>
            </w:r>
          </w:p>
        </w:tc>
      </w:tr>
      <w:tr>
        <w:trPr/>
        <w:tc>
          <w:tcPr>
            <w:tcW w:w="45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Structure de coûts</w:t>
            </w:r>
          </w:p>
        </w:tc>
        <w:tc>
          <w:tcPr>
            <w:tcW w:w="4500" w:type="dxa"/>
            <w:gridSpan w:val="2"/>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Sources de revenus</w:t>
            </w:r>
          </w:p>
        </w:tc>
      </w:tr>
      <w:tr>
        <w:trPr/>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Salaires (2 postes) · Loyer et fonctionnement · Formation des candidats · Communication</w:t>
            </w:r>
          </w:p>
        </w:tc>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Commissions de placement facturées aux entreprises (65 000 FCFA en moyenne) · Dons et investissements institutionnels</w:t>
            </w:r>
          </w:p>
        </w:tc>
      </w:tr>
    </w:tbl>
    <w:p>
      <w:pPr>
        <w:pStyle w:val="Normal"/>
        <w:spacing w:before="200" w:after="0"/>
        <w:rPr/>
      </w:pPr>
      <w:r>
        <w:rPr/>
      </w:r>
    </w:p>
    <w:p>
      <w:pPr>
        <w:pStyle w:val="Normal"/>
        <w:spacing w:lineRule="auto" w:line="300" w:before="0" w:after="160"/>
        <w:jc w:val="both"/>
        <w:rPr/>
      </w:pPr>
      <w:r>
        <w:rPr>
          <w:rFonts w:eastAsia="Calibri" w:cs="Calibri"/>
          <w:sz w:val="22"/>
          <w:szCs w:val="22"/>
        </w:rPr>
        <w:t>Le modèle économique repose en priorité sur des honoraires de recrutement (forfait ou pourcentage du salaire annuel selon le poste), complétés le cas échéant par une facturation de mise à disposition pour les secteurs qui en ont l'usage (BTP, logistique, hôtellerie). La commission moyenne retenue pour un recrutement standard est de 65 000 FCFA.</w:t>
      </w:r>
    </w:p>
    <w:p>
      <w:pPr>
        <w:pStyle w:val="Heading2"/>
        <w:spacing w:before="280" w:after="140"/>
        <w:rPr/>
      </w:pPr>
      <w:r>
        <w:rPr>
          <w:rFonts w:eastAsia="Calibri" w:cs="Calibri" w:ascii="Calibri" w:hAnsi="Calibri"/>
          <w:b/>
          <w:bCs/>
          <w:color w:val="1B4332"/>
          <w:sz w:val="24"/>
          <w:szCs w:val="24"/>
        </w:rPr>
        <w:t>7.3 — Deuxième ligne d'activité : prestations directes de services</w:t>
      </w:r>
    </w:p>
    <w:p>
      <w:pPr>
        <w:pStyle w:val="Normal"/>
        <w:spacing w:lineRule="auto" w:line="300" w:before="0" w:after="160"/>
        <w:jc w:val="both"/>
        <w:rPr/>
      </w:pPr>
      <w:r>
        <w:rPr>
          <w:rFonts w:eastAsia="Calibri" w:cs="Calibri"/>
          <w:sz w:val="22"/>
          <w:szCs w:val="22"/>
        </w:rPr>
        <w:t>En complément du recrutement et de la mise à disposition (ligne 1, cœur de métier), TIKVA KORIMA porte une deuxième ligne d'activité : la prestation directe de services dans cinq secteurs hérités du plan fondateur de 2014 — nettoyage et entretien d'espaces, gardiennage, conciergerie, bâtiment et travaux publics (BTP), et agriculture. Contrairement à la ligne 1, TIKVA KORIMA y est l'employeur direct de ses équipes et facture au client la prestation réalisée (contrat d'entreprise), et non la seule mise à disposition de personnel.</w:t>
      </w:r>
    </w:p>
    <w:p>
      <w:pPr>
        <w:pStyle w:val="Normal"/>
        <w:spacing w:lineRule="auto" w:line="300" w:before="0" w:after="160"/>
        <w:jc w:val="both"/>
        <w:rPr/>
      </w:pPr>
      <w:r>
        <w:rPr>
          <w:rFonts w:eastAsia="Calibri" w:cs="Calibri"/>
          <w:sz w:val="22"/>
          <w:szCs w:val="22"/>
        </w:rPr>
        <w:t>Cette ligne joue un rôle stratégique double :</w:t>
      </w:r>
    </w:p>
    <w:p>
      <w:pPr>
        <w:pStyle w:val="ListParagraph"/>
        <w:numPr>
          <w:ilvl w:val="0"/>
          <w:numId w:val="1"/>
        </w:numPr>
        <w:spacing w:lineRule="auto" w:line="300" w:before="0" w:after="80"/>
        <w:jc w:val="both"/>
        <w:rPr/>
      </w:pPr>
      <w:r>
        <w:rPr>
          <w:rFonts w:eastAsia="Calibri" w:cs="Calibri"/>
          <w:sz w:val="22"/>
          <w:szCs w:val="22"/>
        </w:rPr>
        <w:t>Un levier direct de la mission d'insertion : TIKVA KORIMA y emploie elle-même les publics les plus fragiles (femmes en situation d'exclusion, jeunes sans qualification, personnes en reconversion), sans dépendre de l'acceptation d'un client tiers comme c'est le cas en recrutement.</w:t>
      </w:r>
    </w:p>
    <w:p>
      <w:pPr>
        <w:pStyle w:val="ListParagraph"/>
        <w:numPr>
          <w:ilvl w:val="0"/>
          <w:numId w:val="1"/>
        </w:numPr>
        <w:spacing w:lineRule="auto" w:line="300" w:before="0" w:after="80"/>
        <w:jc w:val="both"/>
        <w:rPr/>
      </w:pPr>
      <w:r>
        <w:rPr>
          <w:rFonts w:eastAsia="Calibri" w:cs="Calibri"/>
          <w:sz w:val="22"/>
          <w:szCs w:val="22"/>
        </w:rPr>
        <w:t>Un second moteur de revenus, avec une logique économique différente de la ligne 1 : facturation de la prestation exécutée (au forfait ou au contrat récurrent) plutôt que d'une commission de mise en relation.</w:t>
      </w:r>
    </w:p>
    <w:p>
      <w:pPr>
        <w:pStyle w:val="Normal"/>
        <w:spacing w:lineRule="auto" w:line="300" w:before="0" w:after="160"/>
        <w:jc w:val="both"/>
        <w:rPr/>
      </w:pPr>
      <w:r>
        <w:rPr>
          <w:rFonts w:eastAsia="Calibri" w:cs="Calibri"/>
          <w:sz w:val="22"/>
          <w:szCs w:val="22"/>
        </w:rPr>
        <w:t>Cette ligne d'activité a des implications opérationnelles distinctes de la ligne 1 : elle suppose un statut d'employeur direct pour chaque salarié affecté (charges patronales, équipements, assurance responsabilité civile professionnelle, encadrement de chantier ou d'équipe), un agrément et une couverture assurantielle propres à chaque secteur, et un besoin en fonds de roulement spécifique. Le dimensionnement financier détaillé de cette ligne (charges, marge, calendrier de lancement) reste à intégrer au prévisionnel financier — à ce stade, elle est positionnée comme un développement progressif plutôt que comme une activité de lancement simultanée à la ligne 1, afin de ne pas fragiliser la trésorerie construite pour le scénario de démarrage.</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8. STRATÉGIE COMMERCIALE ET OPÉRATIONNELLE</w:t>
      </w:r>
    </w:p>
    <w:p>
      <w:pPr>
        <w:pStyle w:val="Heading2"/>
        <w:spacing w:before="280" w:after="140"/>
        <w:rPr/>
      </w:pPr>
      <w:r>
        <w:rPr>
          <w:rFonts w:eastAsia="Calibri" w:cs="Calibri" w:ascii="Calibri" w:hAnsi="Calibri"/>
          <w:b/>
          <w:bCs/>
          <w:color w:val="1B4332"/>
          <w:sz w:val="24"/>
          <w:szCs w:val="24"/>
        </w:rPr>
        <w:t>8.1 — Recrutement, sélection et formation</w:t>
      </w:r>
    </w:p>
    <w:p>
      <w:pPr>
        <w:pStyle w:val="Normal"/>
        <w:spacing w:lineRule="auto" w:line="300" w:before="0" w:after="160"/>
        <w:jc w:val="both"/>
        <w:rPr/>
      </w:pPr>
      <w:r>
        <w:rPr>
          <w:rFonts w:eastAsia="Calibri" w:cs="Calibri"/>
          <w:sz w:val="22"/>
          <w:szCs w:val="22"/>
        </w:rPr>
        <w:t>TIKVA KORIMA structure son activité autour d'un processus de recrutement rigoureux : présélection des candidats sur dossier et entretien, vérification des références, puis, pour les publics les plus éloignés de l'emploi, un module court de remise à niveau et de préparation aux codes du monde du travail (ponctualité, sécurité sur chantier, relation client pour les métiers de service à la personne). Cette étape de formation, directement inspirée de l'expérience de la fondatrice en gestion des dossiers d'intérimaires BTP, est le cœur de la différenciation sociale de TIKVA KORIMA face aux bureaux de placement classiques.</w:t>
      </w:r>
    </w:p>
    <w:p>
      <w:pPr>
        <w:pStyle w:val="Heading2"/>
        <w:spacing w:before="280" w:after="140"/>
        <w:rPr/>
      </w:pPr>
      <w:r>
        <w:rPr>
          <w:rFonts w:eastAsia="Calibri" w:cs="Calibri" w:ascii="Calibri" w:hAnsi="Calibri"/>
          <w:b/>
          <w:bCs/>
          <w:color w:val="1B4332"/>
          <w:sz w:val="24"/>
          <w:szCs w:val="24"/>
        </w:rPr>
        <w:t>8.2 — Cibles et acquisition</w:t>
      </w:r>
    </w:p>
    <w:p>
      <w:pPr>
        <w:pStyle w:val="Normal"/>
        <w:spacing w:lineRule="auto" w:line="300" w:before="0" w:after="160"/>
        <w:jc w:val="both"/>
        <w:rPr/>
      </w:pPr>
      <w:r>
        <w:rPr>
          <w:rFonts w:eastAsia="Calibri" w:cs="Calibri"/>
          <w:sz w:val="22"/>
          <w:szCs w:val="22"/>
        </w:rPr>
        <w:t>La prospection cible en priorité les entreprises du BTP, les hôtels, les banques et les institutions publiques de Bamako, via une double approche : démarchage direct par l'équipe commerciale, et mobilisation du réseau institutionnel de la fondatrice pour ouvrir les premiers contacts avec les grands comptes.</w:t>
      </w:r>
    </w:p>
    <w:p>
      <w:pPr>
        <w:pStyle w:val="Heading2"/>
        <w:spacing w:before="280" w:after="140"/>
        <w:rPr/>
      </w:pPr>
      <w:r>
        <w:rPr>
          <w:rFonts w:eastAsia="Calibri" w:cs="Calibri" w:ascii="Calibri" w:hAnsi="Calibri"/>
          <w:b/>
          <w:bCs/>
          <w:color w:val="1B4332"/>
          <w:sz w:val="24"/>
          <w:szCs w:val="24"/>
        </w:rPr>
        <w:t>8.3 — Fidélisation et sécurisation</w:t>
      </w:r>
    </w:p>
    <w:p>
      <w:pPr>
        <w:pStyle w:val="Normal"/>
        <w:spacing w:lineRule="auto" w:line="300" w:before="0" w:after="160"/>
        <w:jc w:val="both"/>
        <w:rPr/>
      </w:pPr>
      <w:r>
        <w:rPr>
          <w:rFonts w:eastAsia="Calibri" w:cs="Calibri"/>
          <w:sz w:val="22"/>
          <w:szCs w:val="22"/>
        </w:rPr>
        <w:t>La fidélisation repose sur un interlocuteur unique par client, un suivi de mission documenté et une politique de remplacement rapide. Chaque mise à disposition fait l'objet d'un contrat écrit avec paiement de la commission sécurisé par acompte à la signature — à l'inverse des pratiques de gré à gré qui dominent le marché.</w:t>
      </w:r>
    </w:p>
    <w:p>
      <w:pPr>
        <w:pStyle w:val="Heading2"/>
        <w:spacing w:before="280" w:after="140"/>
        <w:rPr/>
      </w:pPr>
      <w:r>
        <w:rPr>
          <w:rFonts w:eastAsia="Calibri" w:cs="Calibri" w:ascii="Calibri" w:hAnsi="Calibri"/>
          <w:b/>
          <w:bCs/>
          <w:color w:val="1B4332"/>
          <w:sz w:val="24"/>
          <w:szCs w:val="24"/>
        </w:rPr>
        <w:t>8.4 — Communication et image de marque</w:t>
      </w:r>
    </w:p>
    <w:p>
      <w:pPr>
        <w:pStyle w:val="Normal"/>
        <w:spacing w:lineRule="auto" w:line="300" w:before="0" w:after="160"/>
        <w:jc w:val="both"/>
        <w:rPr/>
      </w:pPr>
      <w:r>
        <w:rPr>
          <w:rFonts w:eastAsia="Calibri" w:cs="Calibri"/>
          <w:sz w:val="22"/>
          <w:szCs w:val="22"/>
        </w:rPr>
        <w:t>La communication de TIKVA KORIMA s'appuiera sur une présence institutionnelle forte (partenariats avec les ambassades, la coopération Vitry-Mali, les ONG d'insertion féminine) doublée d'une communication de proximité à Bamako (kits commerciaux, présence dans les quartiers d'affaires). Les supports détaillés (logo, charte graphique, plaquette, site internet) feront l'objet d'un chantier de création dédié une fois le présent dossier validé par les premiers partenaires financiers, afin de garantir une cohérence visuelle et éditoriale totale dès le lancement public.</w:t>
      </w:r>
    </w:p>
    <w:p>
      <w:pPr>
        <w:pStyle w:val="Heading2"/>
        <w:spacing w:before="280" w:after="140"/>
        <w:rPr/>
      </w:pPr>
      <w:r>
        <w:rPr>
          <w:rFonts w:eastAsia="Calibri" w:cs="Calibri" w:ascii="Calibri" w:hAnsi="Calibri"/>
          <w:b/>
          <w:bCs/>
          <w:color w:val="1B4332"/>
          <w:sz w:val="24"/>
          <w:szCs w:val="24"/>
        </w:rPr>
        <w:t>8.5 — Calendrier de déploiement (année 1)</w:t>
      </w:r>
    </w:p>
    <w:p>
      <w:pPr>
        <w:pStyle w:val="ListParagraph"/>
        <w:numPr>
          <w:ilvl w:val="0"/>
          <w:numId w:val="1"/>
        </w:numPr>
        <w:spacing w:before="0" w:after="100"/>
        <w:rPr/>
      </w:pPr>
      <w:r>
        <w:rPr>
          <w:rFonts w:eastAsia="Calibri" w:cs="Calibri"/>
          <w:sz w:val="22"/>
          <w:szCs w:val="22"/>
        </w:rPr>
        <w:t>Mois 1-2 : constitution juridique de la SARL, obtention de l'agrément du Ministère du Travail, installation du siège à Bamako.</w:t>
      </w:r>
    </w:p>
    <w:p>
      <w:pPr>
        <w:pStyle w:val="ListParagraph"/>
        <w:numPr>
          <w:ilvl w:val="0"/>
          <w:numId w:val="1"/>
        </w:numPr>
        <w:spacing w:before="0" w:after="100"/>
        <w:rPr/>
      </w:pPr>
      <w:r>
        <w:rPr>
          <w:rFonts w:eastAsia="Calibri" w:cs="Calibri"/>
          <w:sz w:val="22"/>
          <w:szCs w:val="22"/>
        </w:rPr>
        <w:t>Mois 2-3 : recrutement du/de la responsable recrutement-commercial(e), mise en place des outils de gestion.</w:t>
      </w:r>
    </w:p>
    <w:p>
      <w:pPr>
        <w:pStyle w:val="ListParagraph"/>
        <w:numPr>
          <w:ilvl w:val="0"/>
          <w:numId w:val="1"/>
        </w:numPr>
        <w:spacing w:before="0" w:after="100"/>
        <w:rPr/>
      </w:pPr>
      <w:r>
        <w:rPr>
          <w:rFonts w:eastAsia="Calibri" w:cs="Calibri"/>
          <w:sz w:val="22"/>
          <w:szCs w:val="22"/>
        </w:rPr>
        <w:t>Mois 3-4 : premières actions de prospection commerciale et constitution du vivier de candidats.</w:t>
      </w:r>
    </w:p>
    <w:p>
      <w:pPr>
        <w:pStyle w:val="ListParagraph"/>
        <w:numPr>
          <w:ilvl w:val="0"/>
          <w:numId w:val="1"/>
        </w:numPr>
        <w:spacing w:before="0" w:after="100"/>
        <w:rPr/>
      </w:pPr>
      <w:r>
        <w:rPr>
          <w:rFonts w:eastAsia="Calibri" w:cs="Calibri"/>
          <w:sz w:val="22"/>
          <w:szCs w:val="22"/>
        </w:rPr>
        <w:t>Mois 5-6 : premiers placements et premières missions facturées.</w:t>
      </w:r>
    </w:p>
    <w:p>
      <w:pPr>
        <w:pStyle w:val="ListParagraph"/>
        <w:numPr>
          <w:ilvl w:val="0"/>
          <w:numId w:val="1"/>
        </w:numPr>
        <w:spacing w:before="0" w:after="100"/>
        <w:rPr/>
      </w:pPr>
      <w:r>
        <w:rPr>
          <w:rFonts w:eastAsia="Calibri" w:cs="Calibri"/>
          <w:sz w:val="22"/>
          <w:szCs w:val="22"/>
        </w:rPr>
        <w:t>Mois 6-12 : montée en charge commerciale (2 à 8 placements/mois), structuration du suivi social.</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9. ORGANISATION ET GOUVERNANCE</w:t>
      </w:r>
    </w:p>
    <w:p>
      <w:pPr>
        <w:pStyle w:val="Normal"/>
        <w:spacing w:lineRule="auto" w:line="300" w:before="0" w:after="160"/>
        <w:jc w:val="both"/>
        <w:rPr/>
      </w:pPr>
      <w:r>
        <w:rPr>
          <w:rFonts w:eastAsia="Calibri" w:cs="Calibri"/>
          <w:sz w:val="22"/>
          <w:szCs w:val="22"/>
        </w:rPr>
        <w:t>TIKVA KORIMA est constituée sous forme de société à responsabilité limitée (SARL) de droit malien, avec Madame Nimaga Gnakalé KOITA comme gérante statutaire et salariée. Cette structure permet une prise de décision rapide, nécessaire à la phase de démarrage, tout en offrant aux partenaires financiers un cadre juridique clair.</w:t>
      </w:r>
    </w:p>
    <w:tbl>
      <w:tblPr>
        <w:tblW w:w="9000" w:type="dxa"/>
        <w:jc w:val="start"/>
        <w:tblInd w:w="0" w:type="dxa"/>
        <w:tblLayout w:type="fixed"/>
        <w:tblCellMar>
          <w:top w:w="0" w:type="dxa"/>
          <w:start w:w="108" w:type="dxa"/>
          <w:bottom w:w="0" w:type="dxa"/>
          <w:end w:w="108" w:type="dxa"/>
        </w:tblCellMar>
      </w:tblPr>
      <w:tblGrid>
        <w:gridCol w:w="5000"/>
        <w:gridCol w:w="4000"/>
      </w:tblGrid>
      <w:tr>
        <w:trPr/>
        <w:tc>
          <w:tcPr>
            <w:tcW w:w="5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Élément</w:t>
            </w:r>
          </w:p>
        </w:tc>
        <w:tc>
          <w:tcPr>
            <w:tcW w:w="4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Valeur</w:t>
            </w:r>
          </w:p>
        </w:tc>
      </w:tr>
      <w:tr>
        <w:trPr/>
        <w:tc>
          <w:tcPr>
            <w:tcW w:w="5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Forme juridique</w:t>
            </w:r>
          </w:p>
        </w:tc>
        <w:tc>
          <w:tcPr>
            <w:tcW w:w="40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SARL</w:t>
            </w:r>
          </w:p>
        </w:tc>
      </w:tr>
      <w:tr>
        <w:trPr/>
        <w:tc>
          <w:tcPr>
            <w:tcW w:w="5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Capital social</w:t>
            </w:r>
          </w:p>
        </w:tc>
        <w:tc>
          <w:tcPr>
            <w:tcW w:w="40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500 000 FCFA</w:t>
            </w:r>
          </w:p>
        </w:tc>
      </w:tr>
      <w:tr>
        <w:trPr/>
        <w:tc>
          <w:tcPr>
            <w:tcW w:w="5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Répartition</w:t>
            </w:r>
          </w:p>
        </w:tc>
        <w:tc>
          <w:tcPr>
            <w:tcW w:w="40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50 parts sociales de 10 000 FCFA</w:t>
            </w:r>
          </w:p>
        </w:tc>
      </w:tr>
      <w:tr>
        <w:trPr/>
        <w:tc>
          <w:tcPr>
            <w:tcW w:w="5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Apport en nature (hors capital)</w:t>
            </w:r>
          </w:p>
        </w:tc>
        <w:tc>
          <w:tcPr>
            <w:tcW w:w="40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Imprimante et ordinateur (fondatrice)</w:t>
            </w:r>
          </w:p>
        </w:tc>
      </w:tr>
      <w:tr>
        <w:trPr/>
        <w:tc>
          <w:tcPr>
            <w:tcW w:w="5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Effectif salarié au lancement</w:t>
            </w:r>
          </w:p>
        </w:tc>
        <w:tc>
          <w:tcPr>
            <w:tcW w:w="40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2 salariés</w:t>
            </w:r>
          </w:p>
        </w:tc>
      </w:tr>
    </w:tbl>
    <w:p>
      <w:pPr>
        <w:pStyle w:val="Normal"/>
        <w:spacing w:before="200" w:after="0"/>
        <w:rPr/>
      </w:pPr>
      <w:r>
        <w:rPr/>
      </w:r>
    </w:p>
    <w:p>
      <w:pPr>
        <w:pStyle w:val="Normal"/>
        <w:spacing w:lineRule="auto" w:line="300" w:before="0" w:after="160"/>
        <w:jc w:val="both"/>
        <w:rPr/>
      </w:pPr>
      <w:r>
        <w:rPr>
          <w:rFonts w:eastAsia="Calibri" w:cs="Calibri"/>
          <w:sz w:val="22"/>
          <w:szCs w:val="22"/>
        </w:rPr>
        <w:t>L'équipe a vocation à s'élargir dès la deuxième année, au rythme de la montée en charge commerciale, avec l'ajout de responsables de secteur (service à la personne, gardiennage, conciergerie).</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10. IMPACT SOCIAL</w:t>
      </w:r>
    </w:p>
    <w:p>
      <w:pPr>
        <w:pStyle w:val="Normal"/>
        <w:spacing w:lineRule="auto" w:line="300" w:before="0" w:after="160"/>
        <w:jc w:val="both"/>
        <w:rPr/>
      </w:pPr>
      <w:r>
        <w:rPr>
          <w:rFonts w:eastAsia="Calibri" w:cs="Calibri"/>
          <w:sz w:val="22"/>
          <w:szCs w:val="22"/>
        </w:rPr>
        <w:t>La mission sociale de TIKVA KORIMA n'est pas un ajout de communication : c'est le motif fondateur du projet, inchangé depuis le premier business plan de 2014. TIKVA KORIMA se donne pour but de faciliter l'accès à un emploi digne et durable pour les personnes que le marché de l'emploi malien laisse aujourd'hui de côté — femmes en situation de vulnérabilité, jeunes sans qualification, personnes en reconversion après un accident de parcours — sans se substituer aux structures sociales spécialisées, mais en travaillant avec elles.</w:t>
      </w:r>
    </w:p>
    <w:p>
      <w:pPr>
        <w:pStyle w:val="Heading2"/>
        <w:spacing w:before="280" w:after="140"/>
        <w:rPr/>
      </w:pPr>
      <w:r>
        <w:rPr>
          <w:rFonts w:eastAsia="Calibri" w:cs="Calibri" w:ascii="Calibri" w:hAnsi="Calibri"/>
          <w:b/>
          <w:bCs/>
          <w:color w:val="1B4332"/>
          <w:sz w:val="24"/>
          <w:szCs w:val="24"/>
        </w:rPr>
        <w:t>10.1 — Nos valeurs</w:t>
      </w:r>
    </w:p>
    <w:p>
      <w:pPr>
        <w:pStyle w:val="Normal"/>
        <w:spacing w:lineRule="auto" w:line="300" w:before="0" w:after="160"/>
        <w:jc w:val="both"/>
        <w:rPr/>
      </w:pPr>
      <w:r>
        <w:rPr>
          <w:rFonts w:eastAsia="Calibri" w:cs="Calibri"/>
          <w:sz w:val="22"/>
          <w:szCs w:val="22"/>
        </w:rPr>
        <w:t>Aux valeurs officielles de la marque — Confiance, Professionnalisme, Innovation, Proximité — s'ajoutent les valeurs sociales portées depuis l'origine du projet : dignité, inclusion, accompagnement et protection sociale. Les premières guident la relation commerciale ; les secondes guident la manière dont TIKVA KORIMA choisit ses candidats et les accompagne.</w:t>
      </w:r>
    </w:p>
    <w:p>
      <w:pPr>
        <w:pStyle w:val="Heading2"/>
        <w:spacing w:before="280" w:after="140"/>
        <w:rPr/>
      </w:pPr>
      <w:r>
        <w:rPr>
          <w:rFonts w:eastAsia="Calibri" w:cs="Calibri" w:ascii="Calibri" w:hAnsi="Calibri"/>
          <w:b/>
          <w:bCs/>
          <w:color w:val="1B4332"/>
          <w:sz w:val="24"/>
          <w:szCs w:val="24"/>
        </w:rPr>
        <w:t>10.2 — Indicateurs de résultat social</w:t>
      </w:r>
    </w:p>
    <w:p>
      <w:pPr>
        <w:pStyle w:val="Normal"/>
        <w:spacing w:lineRule="auto" w:line="300" w:before="0" w:after="160"/>
        <w:jc w:val="both"/>
        <w:rPr/>
      </w:pPr>
      <w:r>
        <w:rPr>
          <w:rFonts w:eastAsia="Calibri" w:cs="Calibri"/>
          <w:sz w:val="22"/>
          <w:szCs w:val="22"/>
        </w:rPr>
        <w:t>TIKVA KORIMA se fixe des indicateurs de résultat social suivis dès la première année, documentés trimestriellement au même titre que ses résultats commerciaux.</w:t>
      </w:r>
    </w:p>
    <w:p>
      <w:pPr>
        <w:pStyle w:val="ListParagraph"/>
        <w:numPr>
          <w:ilvl w:val="0"/>
          <w:numId w:val="1"/>
        </w:numPr>
        <w:spacing w:before="0" w:after="100"/>
        <w:rPr/>
      </w:pPr>
      <w:r>
        <w:rPr>
          <w:rFonts w:eastAsia="Calibri" w:cs="Calibri"/>
          <w:sz w:val="22"/>
          <w:szCs w:val="22"/>
        </w:rPr>
        <w:t>Objectif année 1 : au moins 40 % des placements réalisés au bénéfice de femmes ou de jeunes en situation de vulnérabilité.</w:t>
      </w:r>
    </w:p>
    <w:p>
      <w:pPr>
        <w:pStyle w:val="ListParagraph"/>
        <w:numPr>
          <w:ilvl w:val="0"/>
          <w:numId w:val="1"/>
        </w:numPr>
        <w:spacing w:before="0" w:after="100"/>
        <w:rPr/>
      </w:pPr>
      <w:r>
        <w:rPr>
          <w:rFonts w:eastAsia="Calibri" w:cs="Calibri"/>
          <w:sz w:val="22"/>
          <w:szCs w:val="22"/>
        </w:rPr>
        <w:t>Objectif année 1 : au moins 50 candidats ayant suivi un module de formation ou de remise à niveau.</w:t>
      </w:r>
    </w:p>
    <w:p>
      <w:pPr>
        <w:pStyle w:val="ListParagraph"/>
        <w:numPr>
          <w:ilvl w:val="0"/>
          <w:numId w:val="1"/>
        </w:numPr>
        <w:spacing w:before="0" w:after="100"/>
        <w:rPr/>
      </w:pPr>
      <w:r>
        <w:rPr>
          <w:rFonts w:eastAsia="Calibri" w:cs="Calibri"/>
          <w:sz w:val="22"/>
          <w:szCs w:val="22"/>
        </w:rPr>
        <w:t>Objectif année 2-3 : partenariat pérenne avec au moins une ONG d'insertion féminine et une agence de développement.</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11. PRÉVISIONNEL FINANCIER</w:t>
      </w:r>
    </w:p>
    <w:p>
      <w:pPr>
        <w:pStyle w:val="Normal"/>
        <w:spacing w:lineRule="auto" w:line="300" w:before="0" w:after="160"/>
        <w:jc w:val="both"/>
        <w:rPr/>
      </w:pPr>
      <w:r>
        <w:rPr>
          <w:rFonts w:eastAsia="Calibri" w:cs="Calibri"/>
          <w:i/>
          <w:iCs/>
          <w:sz w:val="22"/>
          <w:szCs w:val="22"/>
        </w:rPr>
        <w:t>Le détail complet (hypothèses, trésorerie mensuelle, seuil de rentabilité) figure dans le fichier Excel dédié « Prévisionnel financier TIKVA KORIMA 2026 », dont ce chapitre reprend les résultats de synthèse.</w:t>
      </w:r>
    </w:p>
    <w:p>
      <w:pPr>
        <w:pStyle w:val="Heading2"/>
        <w:spacing w:before="280" w:after="140"/>
        <w:rPr/>
      </w:pPr>
      <w:r>
        <w:rPr>
          <w:rFonts w:eastAsia="Calibri" w:cs="Calibri" w:ascii="Calibri" w:hAnsi="Calibri"/>
          <w:b/>
          <w:bCs/>
          <w:color w:val="1B4332"/>
          <w:sz w:val="24"/>
          <w:szCs w:val="24"/>
        </w:rPr>
        <w:t>11.1 — Budget de démarrage</w:t>
      </w:r>
    </w:p>
    <w:tbl>
      <w:tblPr>
        <w:tblW w:w="9000" w:type="dxa"/>
        <w:jc w:val="start"/>
        <w:tblInd w:w="0" w:type="dxa"/>
        <w:tblLayout w:type="fixed"/>
        <w:tblCellMar>
          <w:top w:w="0" w:type="dxa"/>
          <w:start w:w="108" w:type="dxa"/>
          <w:bottom w:w="0" w:type="dxa"/>
          <w:end w:w="108" w:type="dxa"/>
        </w:tblCellMar>
      </w:tblPr>
      <w:tblGrid>
        <w:gridCol w:w="5499"/>
        <w:gridCol w:w="3501"/>
      </w:tblGrid>
      <w:tr>
        <w:trPr/>
        <w:tc>
          <w:tcPr>
            <w:tcW w:w="54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Poste d'investissement</w:t>
            </w:r>
          </w:p>
        </w:tc>
        <w:tc>
          <w:tcPr>
            <w:tcW w:w="35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Montant (FCFA)</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Frais juridiques et agrément Ministère du Travail</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250 000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Mobilier de bureau</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150 000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Kit commercial et supports de communication de lancement</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100 000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Total investissement initial</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500 000</w:t>
            </w:r>
          </w:p>
        </w:tc>
      </w:tr>
    </w:tbl>
    <w:p>
      <w:pPr>
        <w:pStyle w:val="Normal"/>
        <w:spacing w:before="200" w:after="0"/>
        <w:rPr/>
      </w:pPr>
      <w:r>
        <w:rPr/>
      </w:r>
    </w:p>
    <w:p>
      <w:pPr>
        <w:pStyle w:val="Heading2"/>
        <w:spacing w:before="280" w:after="140"/>
        <w:rPr/>
      </w:pPr>
      <w:r>
        <w:rPr>
          <w:rFonts w:eastAsia="Calibri" w:cs="Calibri" w:ascii="Calibri" w:hAnsi="Calibri"/>
          <w:b/>
          <w:bCs/>
          <w:color w:val="1B4332"/>
          <w:sz w:val="24"/>
          <w:szCs w:val="24"/>
        </w:rPr>
        <w:t>11.2 — Compte de résultat prévisionnel</w:t>
      </w:r>
    </w:p>
    <w:tbl>
      <w:tblPr>
        <w:tblW w:w="9000" w:type="dxa"/>
        <w:jc w:val="start"/>
        <w:tblInd w:w="0" w:type="dxa"/>
        <w:tblLayout w:type="fixed"/>
        <w:tblCellMar>
          <w:top w:w="0" w:type="dxa"/>
          <w:start w:w="108" w:type="dxa"/>
          <w:bottom w:w="0" w:type="dxa"/>
          <w:end w:w="108" w:type="dxa"/>
        </w:tblCellMar>
      </w:tblPr>
      <w:tblGrid>
        <w:gridCol w:w="4200"/>
        <w:gridCol w:w="1599"/>
        <w:gridCol w:w="1600"/>
        <w:gridCol w:w="1601"/>
      </w:tblGrid>
      <w:tr>
        <w:trPr/>
        <w:tc>
          <w:tcPr>
            <w:tcW w:w="42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Poste (FCFA)</w:t>
            </w:r>
          </w:p>
        </w:tc>
        <w:tc>
          <w:tcPr>
            <w:tcW w:w="15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2026</w:t>
            </w:r>
          </w:p>
        </w:tc>
        <w:tc>
          <w:tcPr>
            <w:tcW w:w="16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2027</w:t>
            </w:r>
          </w:p>
        </w:tc>
        <w:tc>
          <w:tcPr>
            <w:tcW w:w="16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2028</w:t>
            </w:r>
          </w:p>
        </w:tc>
      </w:tr>
      <w:tr>
        <w:trPr/>
        <w:tc>
          <w:tcPr>
            <w:tcW w:w="42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Chiffre d'affaires (commissions)</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4 030 000</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6 649 500</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9 309 300</w:t>
            </w:r>
          </w:p>
        </w:tc>
      </w:tr>
      <w:tr>
        <w:trPr/>
        <w:tc>
          <w:tcPr>
            <w:tcW w:w="42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Charges de personnel</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3 600 000</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4 500 000</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5 175 000</w:t>
            </w:r>
          </w:p>
        </w:tc>
      </w:tr>
      <w:tr>
        <w:trPr/>
        <w:tc>
          <w:tcPr>
            <w:tcW w:w="42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Loyer et charges immobilières</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960 000</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1 200 000</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1 380 000</w:t>
            </w:r>
          </w:p>
        </w:tc>
      </w:tr>
      <w:tr>
        <w:trPr/>
        <w:tc>
          <w:tcPr>
            <w:tcW w:w="42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Charges de fonctionnement</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600 000</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750 000</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862 500</w:t>
            </w:r>
          </w:p>
        </w:tc>
      </w:tr>
      <w:tr>
        <w:trPr/>
        <w:tc>
          <w:tcPr>
            <w:tcW w:w="42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Communication et prospection</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300 000</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375 000</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431 250</w:t>
            </w:r>
          </w:p>
        </w:tc>
      </w:tr>
      <w:tr>
        <w:trPr/>
        <w:tc>
          <w:tcPr>
            <w:tcW w:w="4200"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start"/>
              <w:rPr/>
            </w:pPr>
            <w:r>
              <w:rPr>
                <w:rFonts w:eastAsia="Calibri" w:cs="Calibri"/>
                <w:b/>
                <w:bCs/>
                <w:sz w:val="20"/>
                <w:szCs w:val="20"/>
              </w:rPr>
              <w:t>Total charges d'exploitation</w:t>
            </w:r>
          </w:p>
        </w:tc>
        <w:tc>
          <w:tcPr>
            <w:tcW w:w="1599"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5 460 000</w:t>
            </w:r>
          </w:p>
        </w:tc>
        <w:tc>
          <w:tcPr>
            <w:tcW w:w="1600"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6 825 000</w:t>
            </w:r>
          </w:p>
        </w:tc>
        <w:tc>
          <w:tcPr>
            <w:tcW w:w="1601"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7 848 750</w:t>
            </w:r>
          </w:p>
        </w:tc>
      </w:tr>
      <w:tr>
        <w:trPr/>
        <w:tc>
          <w:tcPr>
            <w:tcW w:w="4200"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start"/>
              <w:rPr/>
            </w:pPr>
            <w:r>
              <w:rPr>
                <w:rFonts w:eastAsia="Calibri" w:cs="Calibri"/>
                <w:b/>
                <w:bCs/>
                <w:sz w:val="20"/>
                <w:szCs w:val="20"/>
              </w:rPr>
              <w:t>Résultat courant avant impôt</w:t>
            </w:r>
          </w:p>
        </w:tc>
        <w:tc>
          <w:tcPr>
            <w:tcW w:w="1599"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- 1 430 000</w:t>
            </w:r>
          </w:p>
        </w:tc>
        <w:tc>
          <w:tcPr>
            <w:tcW w:w="1600"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- 175 500</w:t>
            </w:r>
          </w:p>
        </w:tc>
        <w:tc>
          <w:tcPr>
            <w:tcW w:w="1601" w:type="dxa"/>
            <w:tcBorders>
              <w:top w:val="single" w:sz="4" w:space="0" w:color="000000"/>
              <w:start w:val="single" w:sz="4" w:space="0" w:color="000000"/>
              <w:bottom w:val="single" w:sz="4" w:space="0" w:color="000000"/>
              <w:end w:val="single" w:sz="4" w:space="0" w:color="000000"/>
            </w:tcBorders>
            <w:shd w:fill="EAF2ED" w:val="clear"/>
            <w:vAlign w:val="center"/>
          </w:tcPr>
          <w:p>
            <w:pPr>
              <w:pStyle w:val="Normal"/>
              <w:jc w:val="end"/>
              <w:rPr/>
            </w:pPr>
            <w:r>
              <w:rPr>
                <w:rFonts w:eastAsia="Calibri" w:cs="Calibri"/>
                <w:b/>
                <w:bCs/>
                <w:sz w:val="20"/>
                <w:szCs w:val="20"/>
              </w:rPr>
              <w:t>+ 1 460 550</w:t>
            </w:r>
          </w:p>
        </w:tc>
      </w:tr>
    </w:tbl>
    <w:p>
      <w:pPr>
        <w:pStyle w:val="Normal"/>
        <w:spacing w:before="200" w:after="0"/>
        <w:rPr/>
      </w:pPr>
      <w:r>
        <w:rPr/>
      </w:r>
    </w:p>
    <w:p>
      <w:pPr>
        <w:pStyle w:val="Normal"/>
        <w:spacing w:lineRule="auto" w:line="300" w:before="0" w:after="160"/>
        <w:jc w:val="both"/>
        <w:rPr/>
      </w:pPr>
      <w:r>
        <w:rPr>
          <w:rFonts w:eastAsia="Calibri" w:cs="Calibri"/>
          <w:i/>
          <w:iCs/>
          <w:sz w:val="22"/>
          <w:szCs w:val="22"/>
        </w:rPr>
        <w:t>Le point mort est atteint dès la troisième année, avec une trajectoire prudente : montée en charge de 2 à 8 placements facturés par mois en année 1, pour une commission moyenne de 65 000 FCFA par placement.</w:t>
      </w:r>
    </w:p>
    <w:p>
      <w:pPr>
        <w:pStyle w:val="Heading2"/>
        <w:spacing w:before="280" w:after="140"/>
        <w:rPr/>
      </w:pPr>
      <w:r>
        <w:rPr>
          <w:rFonts w:eastAsia="Calibri" w:cs="Calibri" w:ascii="Calibri" w:hAnsi="Calibri"/>
          <w:b/>
          <w:bCs/>
          <w:color w:val="1B4332"/>
          <w:sz w:val="24"/>
          <w:szCs w:val="24"/>
        </w:rPr>
        <w:t>11.3 — Plan de financement</w:t>
      </w:r>
    </w:p>
    <w:tbl>
      <w:tblPr>
        <w:tblW w:w="9000" w:type="dxa"/>
        <w:jc w:val="start"/>
        <w:tblInd w:w="0" w:type="dxa"/>
        <w:tblLayout w:type="fixed"/>
        <w:tblCellMar>
          <w:top w:w="0" w:type="dxa"/>
          <w:start w:w="108" w:type="dxa"/>
          <w:bottom w:w="0" w:type="dxa"/>
          <w:end w:w="108" w:type="dxa"/>
        </w:tblCellMar>
      </w:tblPr>
      <w:tblGrid>
        <w:gridCol w:w="5499"/>
        <w:gridCol w:w="3501"/>
      </w:tblGrid>
      <w:tr>
        <w:trPr/>
        <w:tc>
          <w:tcPr>
            <w:tcW w:w="54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Emplois</w:t>
            </w:r>
          </w:p>
        </w:tc>
        <w:tc>
          <w:tcPr>
            <w:tcW w:w="35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Montant (FCFA)</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Investissement initial</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500 000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Besoin en fonds de roulement et trésorerie de sécurité (année 1)</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5 000 000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Total emplois</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5 500 000</w:t>
            </w:r>
          </w:p>
        </w:tc>
      </w:tr>
    </w:tbl>
    <w:p>
      <w:pPr>
        <w:pStyle w:val="Normal"/>
        <w:spacing w:before="150" w:after="0"/>
        <w:rPr/>
      </w:pPr>
      <w:r>
        <w:rPr/>
      </w:r>
    </w:p>
    <w:tbl>
      <w:tblPr>
        <w:tblW w:w="9000" w:type="dxa"/>
        <w:jc w:val="start"/>
        <w:tblInd w:w="0" w:type="dxa"/>
        <w:tblLayout w:type="fixed"/>
        <w:tblCellMar>
          <w:top w:w="0" w:type="dxa"/>
          <w:start w:w="108" w:type="dxa"/>
          <w:bottom w:w="0" w:type="dxa"/>
          <w:end w:w="108" w:type="dxa"/>
        </w:tblCellMar>
      </w:tblPr>
      <w:tblGrid>
        <w:gridCol w:w="5499"/>
        <w:gridCol w:w="3501"/>
      </w:tblGrid>
      <w:tr>
        <w:trPr/>
        <w:tc>
          <w:tcPr>
            <w:tcW w:w="54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Ressources</w:t>
            </w:r>
          </w:p>
        </w:tc>
        <w:tc>
          <w:tcPr>
            <w:tcW w:w="35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Montant (FCFA)</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Capital social (apport numéraire de la fondatrice)</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500 000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Financement externe recherché</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5 000 000</w:t>
            </w:r>
          </w:p>
        </w:tc>
      </w:tr>
      <w:tr>
        <w:trPr/>
        <w:tc>
          <w:tcPr>
            <w:tcW w:w="54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Total ressources</w:t>
            </w:r>
          </w:p>
        </w:tc>
        <w:tc>
          <w:tcPr>
            <w:tcW w:w="3501" w:type="dxa"/>
            <w:tcBorders>
              <w:top w:val="single" w:sz="4" w:space="0" w:color="000000"/>
              <w:start w:val="single" w:sz="4" w:space="0" w:color="000000"/>
              <w:bottom w:val="single" w:sz="4" w:space="0" w:color="000000"/>
              <w:end w:val="single" w:sz="4" w:space="0" w:color="000000"/>
            </w:tcBorders>
            <w:vAlign w:val="center"/>
          </w:tcPr>
          <w:p>
            <w:pPr>
              <w:pStyle w:val="Normal"/>
              <w:jc w:val="end"/>
              <w:rPr/>
            </w:pPr>
            <w:r>
              <w:rPr>
                <w:rFonts w:eastAsia="Calibri" w:cs="Calibri"/>
                <w:b w:val="false"/>
                <w:bCs w:val="false"/>
                <w:sz w:val="20"/>
                <w:szCs w:val="20"/>
              </w:rPr>
              <w:t>5 500 000</w:t>
            </w:r>
          </w:p>
        </w:tc>
      </w:tr>
    </w:tbl>
    <w:p>
      <w:pPr>
        <w:pStyle w:val="Normal"/>
        <w:spacing w:before="200" w:after="0"/>
        <w:rPr/>
      </w:pPr>
      <w:r>
        <w:rPr/>
      </w:r>
    </w:p>
    <w:p>
      <w:pPr>
        <w:pStyle w:val="Heading2"/>
        <w:spacing w:before="280" w:after="140"/>
        <w:rPr/>
      </w:pPr>
      <w:r>
        <w:rPr>
          <w:rFonts w:eastAsia="Calibri" w:cs="Calibri" w:ascii="Calibri" w:hAnsi="Calibri"/>
          <w:b/>
          <w:bCs/>
          <w:color w:val="1B4332"/>
          <w:sz w:val="24"/>
          <w:szCs w:val="24"/>
        </w:rPr>
        <w:t>11.4 — Seuil de rentabilité</w:t>
      </w:r>
    </w:p>
    <w:p>
      <w:pPr>
        <w:pStyle w:val="Normal"/>
        <w:spacing w:lineRule="auto" w:line="300" w:before="0" w:after="160"/>
        <w:jc w:val="both"/>
        <w:rPr/>
      </w:pPr>
      <w:r>
        <w:rPr>
          <w:rFonts w:eastAsia="Calibri" w:cs="Calibri"/>
          <w:sz w:val="22"/>
          <w:szCs w:val="22"/>
        </w:rPr>
        <w:t>Le seuil de rentabilité s'établit à 7 placements facturés par mois (charges fixes mensuelles de 455 000 FCFA rapportées à une commission moyenne de 65 000 FCFA). Selon la trajectoire de montée en charge retenue, ce seuil est atteint dès le 11ᵉ mois d'exploitation.</w:t>
      </w:r>
    </w:p>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12. GESTION DES RISQUES</w:t>
      </w:r>
    </w:p>
    <w:tbl>
      <w:tblPr>
        <w:tblW w:w="9600" w:type="dxa"/>
        <w:jc w:val="start"/>
        <w:tblInd w:w="0" w:type="dxa"/>
        <w:tblLayout w:type="fixed"/>
        <w:tblCellMar>
          <w:top w:w="0" w:type="dxa"/>
          <w:start w:w="108" w:type="dxa"/>
          <w:bottom w:w="0" w:type="dxa"/>
          <w:end w:w="108" w:type="dxa"/>
        </w:tblCellMar>
      </w:tblPr>
      <w:tblGrid>
        <w:gridCol w:w="1899"/>
        <w:gridCol w:w="2901"/>
        <w:gridCol w:w="2900"/>
        <w:gridCol w:w="1000"/>
        <w:gridCol w:w="900"/>
      </w:tblGrid>
      <w:tr>
        <w:trPr/>
        <w:tc>
          <w:tcPr>
            <w:tcW w:w="1899"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Risque</w:t>
            </w:r>
          </w:p>
        </w:tc>
        <w:tc>
          <w:tcPr>
            <w:tcW w:w="2901"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Nature</w:t>
            </w:r>
          </w:p>
        </w:tc>
        <w:tc>
          <w:tcPr>
            <w:tcW w:w="29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Mesure d'atténuation</w:t>
            </w:r>
          </w:p>
        </w:tc>
        <w:tc>
          <w:tcPr>
            <w:tcW w:w="10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Probabilité</w:t>
            </w:r>
          </w:p>
        </w:tc>
        <w:tc>
          <w:tcPr>
            <w:tcW w:w="900" w:type="dxa"/>
            <w:tcBorders>
              <w:top w:val="single" w:sz="4" w:space="0" w:color="000000"/>
              <w:start w:val="single" w:sz="4" w:space="0" w:color="000000"/>
              <w:bottom w:val="single" w:sz="4" w:space="0" w:color="000000"/>
              <w:end w:val="single" w:sz="4" w:space="0" w:color="000000"/>
            </w:tcBorders>
            <w:shd w:fill="1B4332" w:val="clear"/>
            <w:vAlign w:val="center"/>
          </w:tcPr>
          <w:p>
            <w:pPr>
              <w:pStyle w:val="Normal"/>
              <w:rPr/>
            </w:pPr>
            <w:r>
              <w:rPr>
                <w:rFonts w:eastAsia="Calibri" w:cs="Calibri"/>
                <w:b/>
                <w:bCs/>
                <w:color w:val="FFFFFF"/>
                <w:sz w:val="20"/>
                <w:szCs w:val="20"/>
              </w:rPr>
              <w:t>Impact</w:t>
            </w:r>
          </w:p>
        </w:tc>
      </w:tr>
      <w:tr>
        <w:trPr/>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Politique</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Instabilité institutionnelle et sécuritaire dans certaines régions</w:t>
            </w:r>
          </w:p>
        </w:tc>
        <w:tc>
          <w:tcPr>
            <w:tcW w:w="2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Concentration de l'activité sur Bamako ; veille continue</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Moyenne</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Élevé</w:t>
            </w:r>
          </w:p>
        </w:tc>
      </w:tr>
      <w:tr>
        <w:trPr/>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Financier</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Trésorerie tendue avant le seuil de rentabilité (mois 11)</w:t>
            </w:r>
          </w:p>
        </w:tc>
        <w:tc>
          <w:tcPr>
            <w:tcW w:w="2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Financement mixte capital / externe ; montée en charge prudente</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Élevée</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Élevé</w:t>
            </w:r>
          </w:p>
        </w:tc>
      </w:tr>
      <w:tr>
        <w:trPr/>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Opérationnel</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Main-d'œuvre peu qualifiée, risque de défaillance en mission</w:t>
            </w:r>
          </w:p>
        </w:tc>
        <w:tc>
          <w:tcPr>
            <w:tcW w:w="2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Formation préalable systématique ; suivi documenté</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Moyenne</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w:t>
            </w:r>
          </w:p>
        </w:tc>
      </w:tr>
      <w:tr>
        <w:trPr/>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Concurrentiel</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Entrée de nouveaux acteurs structurés</w:t>
            </w:r>
          </w:p>
        </w:tc>
        <w:tc>
          <w:tcPr>
            <w:tcW w:w="2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Différenciation par la mission sociale et le réseau institutionnel</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Faible</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w:t>
            </w:r>
          </w:p>
        </w:tc>
      </w:tr>
      <w:tr>
        <w:trPr/>
        <w:tc>
          <w:tcPr>
            <w:tcW w:w="1899"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Réglementaire</w:t>
            </w:r>
          </w:p>
        </w:tc>
        <w:tc>
          <w:tcPr>
            <w:tcW w:w="2901"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Délai d'obtention de l'agrément du Ministère du Travail</w:t>
            </w:r>
          </w:p>
        </w:tc>
        <w:tc>
          <w:tcPr>
            <w:tcW w:w="2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Anticipation dès la phase de constitution juridique</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Moyenne</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Calibri" w:cs="Calibri"/>
                <w:b w:val="false"/>
                <w:bCs w:val="false"/>
                <w:sz w:val="20"/>
                <w:szCs w:val="20"/>
              </w:rPr>
              <w:t>Moyen</w:t>
            </w:r>
          </w:p>
        </w:tc>
      </w:tr>
    </w:tbl>
    <w:p>
      <w:pPr>
        <w:pStyle w:val="Normal"/>
        <w:rPr/>
      </w:pPr>
      <w:r>
        <w:rPr/>
      </w:r>
      <w:r>
        <w:br w:type="page"/>
      </w:r>
    </w:p>
    <w:p>
      <w:pPr>
        <w:pStyle w:val="Heading1"/>
        <w:pBdr>
          <w:bottom w:val="single" w:sz="14" w:space="6" w:color="B8860B"/>
        </w:pBdr>
        <w:spacing w:before="0" w:after="240"/>
        <w:rPr/>
      </w:pPr>
      <w:r>
        <w:rPr>
          <w:rFonts w:eastAsia="Calibri" w:cs="Calibri" w:ascii="Calibri" w:hAnsi="Calibri"/>
          <w:b/>
          <w:bCs/>
          <w:color w:val="1B4332"/>
          <w:sz w:val="30"/>
          <w:szCs w:val="30"/>
        </w:rPr>
        <w:t>13. CONCLUSION</w:t>
      </w:r>
    </w:p>
    <w:p>
      <w:pPr>
        <w:pStyle w:val="Normal"/>
        <w:spacing w:lineRule="auto" w:line="300" w:before="0" w:after="160"/>
        <w:jc w:val="both"/>
        <w:rPr/>
      </w:pPr>
      <w:r>
        <w:rPr>
          <w:rFonts w:eastAsia="Calibri" w:cs="Calibri"/>
          <w:sz w:val="22"/>
          <w:szCs w:val="22"/>
        </w:rPr>
        <w:t>TIKVA KORIMA n'est pas le projet d'une entreprise parmi d'autres : c'est l'aboutissement d'un parcours professionnel et humain construit depuis plus de dix ans, entre le recrutement, l'administration publique française et la coopération internationale. Ce parcours donne à Madame Nimaga Gnakalé KOITA une légitimité rare pour porter un projet qui répond à un besoin réel du marché malien de l'emploi, avec un modèle économique désormais chiffré de façon cohérente, une équipe resserrée et une ambition sociale mesurable.</w:t>
      </w:r>
    </w:p>
    <w:p>
      <w:pPr>
        <w:pStyle w:val="Normal"/>
        <w:spacing w:lineRule="auto" w:line="300" w:before="0" w:after="160"/>
        <w:jc w:val="both"/>
        <w:rPr/>
      </w:pPr>
      <w:r>
        <w:rPr>
          <w:rFonts w:eastAsia="Calibri" w:cs="Calibri"/>
          <w:sz w:val="22"/>
          <w:szCs w:val="22"/>
        </w:rPr>
        <w:t>Avec un capital social de 500 000 FCFA, un besoin de financement externe de 5 000 000 FCFA et un point mort documenté à l'horizon de la troisième année, ce dossier présente une trajectoire réaliste et vérifiable — condition nécessaire pour convaincre une banque, un investisseur ou un bailleur de fonds.</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3A3A3A"/>
        <w:sz w:val="16"/>
        <w:szCs w:val="16"/>
      </w:rPr>
      <w:t xml:space="preserve">Page </w:t>
    </w:r>
    <w:r>
      <w:rPr>
        <w:rFonts w:eastAsia="Calibri" w:cs="Calibri"/>
        <w:sz w:val="22"/>
        <w:szCs w:val="22"/>
      </w:rPr>
      <w:fldChar w:fldCharType="begin"/>
    </w:r>
    <w:r>
      <w:rPr>
        <w:rFonts w:eastAsia="Calibri" w:cs="Calibri"/>
        <w:sz w:val="22"/>
        <w:szCs w:val="22"/>
      </w:rPr>
      <w:instrText xml:space="preserve"> PAGE </w:instrText>
    </w:r>
    <w:r>
      <w:rPr>
        <w:rFonts w:eastAsia="Calibri" w:cs="Calibri"/>
        <w:sz w:val="22"/>
        <w:szCs w:val="22"/>
      </w:rPr>
      <w:fldChar w:fldCharType="separate"/>
    </w:r>
    <w:r>
      <w:rPr>
        <w:rFonts w:eastAsia="Calibri" w:cs="Calibri"/>
        <w:sz w:val="22"/>
        <w:szCs w:val="22"/>
      </w:rPr>
      <w:t>18</w:t>
    </w:r>
    <w:r>
      <w:rPr>
        <w:rFonts w:eastAsia="Calibri" w:cs="Calibri"/>
        <w:sz w:val="22"/>
        <w:szCs w:val="22"/>
      </w:rPr>
      <w:fldChar w:fldCharType="end"/>
    </w:r>
    <w:r>
      <w:rPr>
        <w:rFonts w:eastAsia="Calibri" w:cs="Calibri"/>
        <w:color w:val="3A3A3A"/>
        <w:sz w:val="16"/>
        <w:szCs w:val="16"/>
      </w:rPr>
      <w:t xml:space="preserve"> / </w:t>
    </w:r>
    <w:r>
      <w:rPr>
        <w:rFonts w:eastAsia="Calibri" w:cs="Calibri"/>
        <w:sz w:val="22"/>
        <w:szCs w:val="22"/>
      </w:rPr>
      <w:fldChar w:fldCharType="begin"/>
    </w:r>
    <w:r>
      <w:rPr>
        <w:rFonts w:eastAsia="Calibri" w:cs="Calibri"/>
        <w:sz w:val="22"/>
        <w:szCs w:val="22"/>
      </w:rPr>
      <w:instrText xml:space="preserve"> NUMPAGES </w:instrText>
    </w:r>
    <w:r>
      <w:rPr>
        <w:rFonts w:eastAsia="Calibri" w:cs="Calibri"/>
        <w:sz w:val="22"/>
        <w:szCs w:val="22"/>
      </w:rPr>
      <w:fldChar w:fldCharType="separate"/>
    </w:r>
    <w:r>
      <w:rPr>
        <w:rFonts w:eastAsia="Calibri" w:cs="Calibri"/>
        <w:sz w:val="22"/>
        <w:szCs w:val="22"/>
      </w:rPr>
      <w:t>18</w:t>
    </w:r>
    <w:r>
      <w:rPr>
        <w:rFonts w:eastAsia="Calibri" w:cs="Calibri"/>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color w:val="3A3A3A"/>
        <w:sz w:val="16"/>
        <w:szCs w:val="16"/>
      </w:rPr>
      <w:t xml:space="preserve">Page </w:t>
    </w:r>
    <w:r>
      <w:rPr>
        <w:rFonts w:eastAsia="Calibri" w:cs="Calibri"/>
        <w:sz w:val="22"/>
        <w:szCs w:val="22"/>
      </w:rPr>
      <w:fldChar w:fldCharType="begin"/>
    </w:r>
    <w:r>
      <w:rPr>
        <w:rFonts w:eastAsia="Calibri" w:cs="Calibri"/>
        <w:sz w:val="22"/>
        <w:szCs w:val="22"/>
      </w:rPr>
      <w:instrText xml:space="preserve"> PAGE </w:instrText>
    </w:r>
    <w:r>
      <w:rPr>
        <w:rFonts w:eastAsia="Calibri" w:cs="Calibri"/>
        <w:sz w:val="22"/>
        <w:szCs w:val="22"/>
      </w:rPr>
      <w:fldChar w:fldCharType="separate"/>
    </w:r>
    <w:r>
      <w:rPr>
        <w:rFonts w:eastAsia="Calibri" w:cs="Calibri"/>
        <w:sz w:val="22"/>
        <w:szCs w:val="22"/>
      </w:rPr>
      <w:t>18</w:t>
    </w:r>
    <w:r>
      <w:rPr>
        <w:rFonts w:eastAsia="Calibri" w:cs="Calibri"/>
        <w:sz w:val="22"/>
        <w:szCs w:val="22"/>
      </w:rPr>
      <w:fldChar w:fldCharType="end"/>
    </w:r>
    <w:r>
      <w:rPr>
        <w:rFonts w:eastAsia="Calibri" w:cs="Calibri"/>
        <w:color w:val="3A3A3A"/>
        <w:sz w:val="16"/>
        <w:szCs w:val="16"/>
      </w:rPr>
      <w:t xml:space="preserve"> / </w:t>
    </w:r>
    <w:r>
      <w:rPr>
        <w:rFonts w:eastAsia="Calibri" w:cs="Calibri"/>
        <w:sz w:val="22"/>
        <w:szCs w:val="22"/>
      </w:rPr>
      <w:fldChar w:fldCharType="begin"/>
    </w:r>
    <w:r>
      <w:rPr>
        <w:rFonts w:eastAsia="Calibri" w:cs="Calibri"/>
        <w:sz w:val="22"/>
        <w:szCs w:val="22"/>
      </w:rPr>
      <w:instrText xml:space="preserve"> NUMPAGES </w:instrText>
    </w:r>
    <w:r>
      <w:rPr>
        <w:rFonts w:eastAsia="Calibri" w:cs="Calibri"/>
        <w:sz w:val="22"/>
        <w:szCs w:val="22"/>
      </w:rPr>
      <w:fldChar w:fldCharType="separate"/>
    </w:r>
    <w:r>
      <w:rPr>
        <w:rFonts w:eastAsia="Calibri" w:cs="Calibri"/>
        <w:sz w:val="22"/>
        <w:szCs w:val="22"/>
      </w:rPr>
      <w:t>18</w:t>
    </w:r>
    <w:r>
      <w:rPr>
        <w:rFonts w:eastAsia="Calibri" w:cs="Calibri"/>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rFonts w:eastAsia="Calibri" w:cs="Calibri"/>
        <w:i/>
        <w:iCs/>
        <w:color w:val="3A3A3A"/>
        <w:sz w:val="16"/>
        <w:szCs w:val="16"/>
      </w:rPr>
      <w:t>TIKVA KORIMA — Business Plan 2026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rFonts w:eastAsia="Calibri" w:cs="Calibri"/>
        <w:i/>
        <w:iCs/>
        <w:color w:val="3A3A3A"/>
        <w:sz w:val="16"/>
        <w:szCs w:val="16"/>
      </w:rPr>
      <w:t>TIKVA KORIMA — Business Plan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fr-FR" w:eastAsia="zh-CN" w:bidi="hi-IN"/>
      </w:rPr>
    </w:rPrDefault>
    <w:pPrDefault>
      <w:pPr>
        <w:suppressAutoHyphens w:val="true"/>
      </w:pPr>
    </w:pPrDefault>
  </w:docDefaults>
  <w:style w:type="paragraph" w:styleId="Normal">
    <w:name w:val="Normal"/>
    <w:qFormat/>
    <w:pPr>
      <w:widowControl/>
      <w:bidi w:val="0"/>
      <w:spacing w:before="0" w:after="0"/>
      <w:jc w:val="start"/>
    </w:pPr>
    <w:rPr>
      <w:rFonts w:ascii="Calibri" w:hAnsi="Calibri" w:eastAsia="Calibri" w:cs="Calibri"/>
      <w:color w:val="auto"/>
      <w:kern w:val="0"/>
      <w:sz w:val="20"/>
      <w:szCs w:val="20"/>
      <w:lang w:val="fr-FR" w:eastAsia="zh-CN" w:bidi="hi-IN"/>
    </w:rPr>
  </w:style>
  <w:style w:type="paragraph" w:styleId="Heading1">
    <w:name w:val="heading 1"/>
    <w:basedOn w:val="Titre"/>
    <w:qFormat/>
    <w:pPr/>
    <w:rPr>
      <w:color w:val="2E74B5"/>
      <w:sz w:val="32"/>
      <w:szCs w:val="32"/>
    </w:rPr>
  </w:style>
  <w:style w:type="paragraph" w:styleId="Heading2">
    <w:name w:val="heading 2"/>
    <w:basedOn w:val="Titre"/>
    <w:qFormat/>
    <w:pPr/>
    <w:rPr>
      <w:color w:val="2E74B5"/>
      <w:sz w:val="26"/>
      <w:szCs w:val="26"/>
    </w:rPr>
  </w:style>
  <w:style w:type="paragraph" w:styleId="Heading3">
    <w:name w:val="heading 3"/>
    <w:basedOn w:val="Titre"/>
    <w:qFormat/>
    <w:pPr/>
    <w:rPr>
      <w:color w:val="1F4D78"/>
      <w:sz w:val="24"/>
      <w:szCs w:val="24"/>
    </w:rPr>
  </w:style>
  <w:style w:type="paragraph" w:styleId="Heading4">
    <w:name w:val="heading 4"/>
    <w:basedOn w:val="Titre"/>
    <w:qFormat/>
    <w:pPr/>
    <w:rPr>
      <w:i/>
      <w:iCs/>
      <w:color w:val="2E74B5"/>
    </w:rPr>
  </w:style>
  <w:style w:type="paragraph" w:styleId="Heading5">
    <w:name w:val="heading 5"/>
    <w:basedOn w:val="Titre"/>
    <w:qFormat/>
    <w:pPr/>
    <w:rPr>
      <w:color w:val="2E74B5"/>
    </w:rPr>
  </w:style>
  <w:style w:type="paragraph" w:styleId="Heading6">
    <w:name w:val="heading 6"/>
    <w:basedOn w:val="Titre"/>
    <w:qFormat/>
    <w:pPr/>
    <w:rPr>
      <w:color w:val="1F4D78"/>
    </w:rPr>
  </w:style>
  <w:style w:type="character" w:styleId="Hyperlink">
    <w:name w:val="Hyperlink"/>
    <w:uiPriority w:val="99"/>
    <w:unhideWhenUsed/>
    <w:rPr>
      <w:color w:val="0563C1"/>
      <w:u w:val="single"/>
    </w:rPr>
  </w:style>
  <w:style w:type="character" w:styleId="Caractresdenotedebasdepage">
    <w:name w:val="Caractères de note de bas de page"/>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ctresdenotedefin">
    <w:name w:val="Caractères de note de fin"/>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Titre"/>
    <w:qFormat/>
    <w:pPr/>
    <w:rPr>
      <w:sz w:val="56"/>
      <w:szCs w:val="56"/>
    </w:rPr>
  </w:style>
  <w:style w:type="paragraph" w:styleId="StrongEmphasis">
    <w:name w:val="Strong Emphasis"/>
    <w:qFormat/>
    <w:pPr>
      <w:widowControl/>
      <w:bidi w:val="0"/>
      <w:spacing w:before="0" w:after="0"/>
      <w:jc w:val="start"/>
    </w:pPr>
    <w:rPr>
      <w:rFonts w:ascii="Calibri" w:hAnsi="Calibri" w:eastAsia="Calibri" w:cs="Calibri"/>
      <w:b/>
      <w:bCs/>
      <w:color w:val="auto"/>
      <w:kern w:val="0"/>
      <w:sz w:val="20"/>
      <w:szCs w:val="20"/>
      <w:lang w:val="fr-FR" w:eastAsia="zh-CN" w:bidi="hi-IN"/>
    </w:rPr>
  </w:style>
  <w:style w:type="paragraph" w:styleId="ListParagraph">
    <w:name w:val="List Paragraph"/>
    <w:qFormat/>
    <w:pPr>
      <w:widowControl/>
      <w:bidi w:val="0"/>
      <w:spacing w:before="0" w:after="0"/>
      <w:jc w:val="start"/>
    </w:pPr>
    <w:rPr>
      <w:rFonts w:ascii="Calibri" w:hAnsi="Calibri" w:eastAsia="Calibri" w:cs="Calibri"/>
      <w:color w:val="auto"/>
      <w:kern w:val="0"/>
      <w:sz w:val="20"/>
      <w:szCs w:val="20"/>
      <w:lang w:val="fr-FR"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En-tteetpieddepage">
    <w:name w:val="En-tête et pied de page"/>
    <w:basedOn w:val="Normal"/>
    <w:qFormat/>
    <w:pPr/>
    <w:rPr/>
  </w:style>
  <w:style w:type="paragraph" w:styleId="Header">
    <w:name w:val="header"/>
    <w:basedOn w:val="En-tteetpieddepage"/>
    <w:pPr/>
    <w:rPr/>
  </w:style>
  <w:style w:type="paragraph" w:styleId="Footer">
    <w:name w:val="footer"/>
    <w:basedOn w:val="En-tteetpieddepage"/>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16</Pages>
  <Words>3326</Words>
  <Characters>19291</Characters>
  <CharactersWithSpaces>22357</CharactersWithSpaces>
  <Paragraphs>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2026-07-08T16:49:57Z</dcterms:created>
  <dc:creator>Un-named</dc:creator>
  <dc:description/>
  <dc:language>fr-FR</dc:language>
  <cp:lastModifiedBy>Un-named</cp:lastModifiedBy>
  <dcterms:modified xsi:type="dcterms:W3CDTF">2026-07-08T16:49:57Z</dcterms:modified>
  <cp:revision>1</cp:revision>
  <dc:subject/>
  <dc:title/>
</cp:coreProperties>
</file>