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mbria" w:cs="Cambria" w:eastAsia="Cambria" w:hAnsi="Cambria"/>
          <w:b/>
          <w:bCs/>
          <w:color w:val="1B4332"/>
          <w:sz w:val="34"/>
          <w:szCs w:val="34"/>
        </w:rPr>
        <w:t xml:space="preserve">TIKVA KORIMA</w:t>
      </w:r>
    </w:p>
    <w:p>
      <w:pPr>
        <w:pBdr>
          <w:bottom w:val="single" w:color="B8860B" w:sz="8" w:space="6"/>
        </w:pBdr>
        <w:spacing w:after="160"/>
      </w:pPr>
      <w:r>
        <w:rPr>
          <w:rFonts w:ascii="Calibri" w:cs="Calibri" w:eastAsia="Calibri" w:hAnsi="Calibri"/>
          <w:i/>
          <w:iCs/>
          <w:color w:val="5A5A5A"/>
          <w:sz w:val="18"/>
          <w:szCs w:val="18"/>
        </w:rPr>
        <w:t xml:space="preserve">L'emploi au service du développement humain — Résumé exécutif</w:t>
      </w:r>
    </w:p>
    <w:p>
      <w:pPr>
        <w:spacing w:after="90" w:line="232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17"/>
          <w:szCs w:val="17"/>
        </w:rPr>
        <w:t xml:space="preserve">TIKVA KORIMA est une agence d'intérim digitalisée en cours de constitution (SARL de droit malien) à Bamako, qui combine recrutement rigoureux, formation courte et accompagnement social individualisé pour sécuriser l'accès à l'emploi des populations les plus vulnérables — en particulier femmes et jeunes.</w:t>
      </w:r>
    </w:p>
    <w:p>
      <w:pPr>
        <w:spacing w:after="60" w:before="140"/>
      </w:pPr>
      <w:r>
        <w:rPr>
          <w:rFonts w:ascii="Cambria" w:cs="Cambria" w:eastAsia="Cambria" w:hAnsi="Cambria"/>
          <w:b/>
          <w:bCs/>
          <w:color w:val="1B4332"/>
          <w:sz w:val="17"/>
          <w:szCs w:val="17"/>
        </w:rPr>
        <w:t xml:space="preserve">Le problème</w:t>
      </w:r>
    </w:p>
    <w:p>
      <w:pPr>
        <w:spacing w:after="90" w:line="232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16"/>
          <w:szCs w:val="16"/>
        </w:rPr>
        <w:t xml:space="preserve">Chaque année, 235 000 jeunes arrivent sur le marché du travail malien, dans un contexte où 45 % de la population vit sous le seuil de pauvreté, où 95,5 % des emplois relèvent du secteur informel, et où moins de 10 % des chercheurs d'emploi passent par un canal formel et sécurisé.</w:t>
      </w:r>
    </w:p>
    <w:p>
      <w:pPr>
        <w:spacing w:after="60" w:before="140"/>
      </w:pPr>
      <w:r>
        <w:rPr>
          <w:rFonts w:ascii="Cambria" w:cs="Cambria" w:eastAsia="Cambria" w:hAnsi="Cambria"/>
          <w:b/>
          <w:bCs/>
          <w:color w:val="1B4332"/>
          <w:sz w:val="17"/>
          <w:szCs w:val="17"/>
        </w:rPr>
        <w:t xml:space="preserve">La solution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Agence rigoureuse et digitalisée : contractualisation systématique et sécurisation du paiement, à l'opposé des pratiques de gré à gré.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Formation courte pour les candidats les plus éloignés de l'emploi avant leur premier placement.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Accompagnement social individualisé, en particulier femmes et jeunes vulnérables.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Services aux entreprises (recrutement, gestion de paie, conseil RH) qui financent la mission sociale.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Un canal numérique sobre (site vitrine, CRM, WhatsApp Business) complète l'agence physique dès l'année 1.</w:t>
      </w:r>
    </w:p>
    <w:p>
      <w:pPr>
        <w:spacing w:after="60" w:before="140"/>
      </w:pPr>
      <w:r>
        <w:rPr>
          <w:rFonts w:ascii="Cambria" w:cs="Cambria" w:eastAsia="Cambria" w:hAnsi="Cambria"/>
          <w:b/>
          <w:bCs/>
          <w:color w:val="1B4332"/>
          <w:sz w:val="17"/>
          <w:szCs w:val="17"/>
        </w:rPr>
        <w:t xml:space="preserve">Modèle économique</w:t>
      </w:r>
    </w:p>
    <w:p>
      <w:pPr>
        <w:spacing w:after="90" w:line="232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16"/>
          <w:szCs w:val="16"/>
        </w:rPr>
        <w:t xml:space="preserve">Mise en relation rémunérée par commission — 65 000 FCFA en moyenne par placement — auprès d'entreprises des secteurs BTP, hôtellerie et banque à Bamako. Seuil de rentabilité : 7 placements par mois, atteint dès le 11ᵉ mois d'exploitation.</w:t>
      </w:r>
    </w:p>
    <w:p>
      <w:pPr>
        <w:spacing w:after="60" w:before="140"/>
      </w:pPr>
      <w:r>
        <w:rPr>
          <w:rFonts w:ascii="Cambria" w:cs="Cambria" w:eastAsia="Cambria" w:hAnsi="Cambria"/>
          <w:b/>
          <w:bCs/>
          <w:color w:val="1B4332"/>
          <w:sz w:val="17"/>
          <w:szCs w:val="17"/>
        </w:rPr>
        <w:t xml:space="preserve">Traction et calendrier</w:t>
      </w:r>
    </w:p>
    <w:p>
      <w:pPr>
        <w:spacing w:after="90" w:line="232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16"/>
          <w:szCs w:val="16"/>
        </w:rPr>
        <w:t xml:space="preserve">Constitution de la SARL et agrément du Ministère du Travail en cours. Déploiement structuré sur 12 mois : recrutement de l'équipe, prospection commerciale, premiers placements, montée en charge progressive vers le point mort.</w:t>
      </w:r>
    </w:p>
    <w:p>
      <w:pPr>
        <w:spacing w:after="60" w:before="140"/>
      </w:pPr>
      <w:r>
        <w:rPr>
          <w:rFonts w:ascii="Cambria" w:cs="Cambria" w:eastAsia="Cambria" w:hAnsi="Cambria"/>
          <w:b/>
          <w:bCs/>
          <w:color w:val="1B4332"/>
          <w:sz w:val="17"/>
          <w:szCs w:val="17"/>
        </w:rPr>
        <w:t xml:space="preserve">Impact social attendu (année 1)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≥ 40 % des placements bénéficiant à des femmes ou jeunes vulnérables.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≥ 50 candidats formés (remise à niveau courte).</w:t>
      </w:r>
    </w:p>
    <w:p>
      <w:pPr>
        <w:pStyle w:val="ListParagraph"/>
        <w:numPr>
          <w:ilvl w:val="0"/>
          <w:numId w:val="2"/>
        </w:numPr>
        <w:spacing w:after="40" w:line="224"/>
      </w:pPr>
      <w:r>
        <w:rPr>
          <w:rFonts w:ascii="Calibri" w:cs="Calibri" w:eastAsia="Calibri" w:hAnsi="Calibri"/>
          <w:color w:val="1F2937"/>
          <w:sz w:val="16"/>
          <w:szCs w:val="16"/>
        </w:rPr>
        <w:t xml:space="preserve">Suivi social structuré sur 3 ans pour chaque candidat placé.</w:t>
      </w:r>
    </w:p>
    <w:p>
      <w:pPr>
        <w:spacing w:after="60" w:before="140"/>
      </w:pPr>
      <w:r>
        <w:rPr>
          <w:rFonts w:ascii="Cambria" w:cs="Cambria" w:eastAsia="Cambria" w:hAnsi="Cambria"/>
          <w:b/>
          <w:bCs/>
          <w:color w:val="1B4332"/>
          <w:sz w:val="17"/>
          <w:szCs w:val="17"/>
        </w:rPr>
        <w:t xml:space="preserve">Besoin de financement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2400"/>
        <w:gridCol w:w="2400"/>
      </w:tblGrid>
      <w:tr>
        <w:tc>
          <w:tcPr>
            <w:tcW w:type="dxa" w:w="2400"/>
            <w:shd w:fill="1B433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Constitution &amp; agréments</w:t>
            </w:r>
          </w:p>
        </w:tc>
        <w:tc>
          <w:tcPr>
            <w:tcW w:type="dxa" w:w="2400"/>
            <w:shd w:fill="1B433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Plateforme numérique</w:t>
            </w:r>
          </w:p>
        </w:tc>
        <w:tc>
          <w:tcPr>
            <w:tcW w:type="dxa" w:w="2400"/>
            <w:shd w:fill="1B433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Trésorerie &amp; BFR</w:t>
            </w:r>
          </w:p>
        </w:tc>
        <w:tc>
          <w:tcPr>
            <w:tcW w:type="dxa" w:w="2400"/>
            <w:shd w:fill="1B433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Total recherché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937"/>
                <w:sz w:val="17"/>
                <w:szCs w:val="17"/>
              </w:rPr>
              <w:t xml:space="preserve">500 000 FCFA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937"/>
                <w:sz w:val="17"/>
                <w:szCs w:val="17"/>
              </w:rPr>
              <w:t xml:space="preserve">1 250 000 FCFA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937"/>
                <w:sz w:val="17"/>
                <w:szCs w:val="17"/>
              </w:rPr>
              <w:t xml:space="preserve">3 750 000 FCFA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937"/>
                <w:sz w:val="17"/>
                <w:szCs w:val="17"/>
              </w:rPr>
              <w:t xml:space="preserve">5 000 000 FCFA (≈ 7 620 €)</w:t>
            </w:r>
          </w:p>
        </w:tc>
      </w:tr>
    </w:tbl>
    <w:p>
      <w:pPr>
        <w:spacing w:after="130" w:line="232"/>
      </w:pPr>
      <w:r>
        <w:rPr>
          <w:rFonts w:ascii="Calibri" w:cs="Calibri" w:eastAsia="Calibri" w:hAnsi="Calibri"/>
          <w:b w:val="false"/>
          <w:bCs w:val="false"/>
          <w:i/>
          <w:iCs/>
          <w:color w:val="1F2937"/>
          <w:sz w:val="15"/>
          <w:szCs w:val="15"/>
        </w:rPr>
        <w:t xml:space="preserve">Structurable en prêt bancaire, prêt d'honneur, subvention, don ou prise de participation selon le partenaire.</w:t>
      </w:r>
    </w:p>
    <w:p>
      <w:pPr>
        <w:spacing w:after="60" w:before="140"/>
      </w:pPr>
      <w:r>
        <w:rPr>
          <w:rFonts w:ascii="Cambria" w:cs="Cambria" w:eastAsia="Cambria" w:hAnsi="Cambria"/>
          <w:b/>
          <w:bCs/>
          <w:color w:val="1B4332"/>
          <w:sz w:val="17"/>
          <w:szCs w:val="17"/>
        </w:rPr>
        <w:t xml:space="preserve">Porteuse de projet</w:t>
      </w:r>
    </w:p>
    <w:p>
      <w:pPr>
        <w:spacing w:after="130" w:line="232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16"/>
          <w:szCs w:val="16"/>
        </w:rPr>
        <w:t>Madame Nimaga Gnakalé KOITA — Présidente fondatrice. Plus de dix ans d'expérience cumulée en RH, recrutement, administration publique française et coopération internationale, complétée par un mandat d'élue locale (conseillère municipale de Vitry-sur-Seine depuis 2026) et un engagement associatif continu pour l'accès à l'emploi.</w:t>
      </w:r>
    </w:p>
    <w:p>
      <w:pPr>
        <w:pBdr>
          <w:top w:val="single" w:color="DDDDDD" w:sz="6" w:space="8"/>
        </w:pBdr>
        <w:spacing w:before="100"/>
      </w:pPr>
      <w:r>
        <w:rPr>
          <w:rFonts w:ascii="Calibri" w:cs="Calibri" w:eastAsia="Calibri" w:hAnsi="Calibri"/>
          <w:i/>
          <w:iCs/>
          <w:color w:val="5A5A5A"/>
          <w:sz w:val="15"/>
          <w:szCs w:val="15"/>
        </w:rPr>
        <w:t>Contact : Madame Nimaga Gnakalé KOITA — +223 93 27 87 32 — contact@tikvakorima.com — Porte 123, Rue 880, Faladiè Séma, Bamako, Mali</w:t>
      </w:r>
    </w:p>
    <w:sectPr>
      <w:headerReference w:type="default" r:id="rId8"/>
      <w:footerReference w:type="default" r:id="rId9"/>
      <w:pgSz w:w="11907" w:h="16840" w:orient="portrait"/>
      <w:pgMar w:top="560" w:right="640" w:bottom="560" w:left="6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2026-07-09T19:15:19.446Z</dcterms:created>
  <dcterms:modified xsi:type="dcterms:W3CDTF">2026-07-09T19:15:19.454Z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